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F704A" w14:textId="384753CA" w:rsidR="00291998" w:rsidRPr="00291998" w:rsidRDefault="00291998" w:rsidP="00291998">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it-IT"/>
          <w14:ligatures w14:val="none"/>
        </w:rPr>
      </w:pPr>
      <w:r>
        <w:rPr>
          <w:rFonts w:ascii="Times New Roman" w:eastAsia="Times New Roman" w:hAnsi="Times New Roman" w:cs="Times New Roman"/>
          <w:b/>
          <w:bCs/>
          <w:kern w:val="36"/>
          <w:sz w:val="48"/>
          <w:szCs w:val="48"/>
          <w:lang w:eastAsia="it-IT"/>
          <w14:ligatures w14:val="none"/>
        </w:rPr>
        <w:t>Polizze</w:t>
      </w:r>
      <w:r w:rsidRPr="00291998">
        <w:rPr>
          <w:rFonts w:ascii="Times New Roman" w:eastAsia="Times New Roman" w:hAnsi="Times New Roman" w:cs="Times New Roman"/>
          <w:b/>
          <w:bCs/>
          <w:kern w:val="36"/>
          <w:sz w:val="48"/>
          <w:szCs w:val="48"/>
          <w:lang w:eastAsia="it-IT"/>
          <w14:ligatures w14:val="none"/>
        </w:rPr>
        <w:t xml:space="preserve"> catastrofali – Termini e </w:t>
      </w:r>
      <w:proofErr w:type="spellStart"/>
      <w:r w:rsidRPr="00291998">
        <w:rPr>
          <w:rFonts w:ascii="Times New Roman" w:eastAsia="Times New Roman" w:hAnsi="Times New Roman" w:cs="Times New Roman"/>
          <w:b/>
          <w:bCs/>
          <w:kern w:val="36"/>
          <w:sz w:val="48"/>
          <w:szCs w:val="48"/>
          <w:lang w:eastAsia="it-IT"/>
          <w14:ligatures w14:val="none"/>
        </w:rPr>
        <w:t>novita'</w:t>
      </w:r>
      <w:proofErr w:type="spellEnd"/>
    </w:p>
    <w:p w14:paraId="5187689E" w14:textId="171078DF" w:rsidR="00291998" w:rsidRPr="00291998" w:rsidRDefault="00291998" w:rsidP="00291998">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Pr>
          <w:rFonts w:ascii="Times New Roman" w:eastAsia="Times New Roman" w:hAnsi="Times New Roman" w:cs="Times New Roman"/>
          <w:kern w:val="0"/>
          <w:lang w:eastAsia="it-IT"/>
          <w14:ligatures w14:val="none"/>
        </w:rPr>
        <w:t>Come da nostra circolare di inizi 2025 l’obbligo di stipulare polizze catastrofali è slittato al 31/12/2025.</w:t>
      </w:r>
    </w:p>
    <w:p w14:paraId="19D4BC6A" w14:textId="77777777" w:rsidR="00291998" w:rsidRPr="00291998" w:rsidRDefault="00291998" w:rsidP="00291998">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xml:space="preserve">Secondo un comunicato stampa del </w:t>
      </w:r>
      <w:proofErr w:type="gramStart"/>
      <w:r w:rsidRPr="00291998">
        <w:rPr>
          <w:rFonts w:ascii="Times New Roman" w:eastAsia="Times New Roman" w:hAnsi="Times New Roman" w:cs="Times New Roman"/>
          <w:kern w:val="0"/>
          <w:lang w:eastAsia="it-IT"/>
          <w14:ligatures w14:val="none"/>
        </w:rPr>
        <w:t>Consiglio dei Ministri</w:t>
      </w:r>
      <w:proofErr w:type="gramEnd"/>
      <w:r w:rsidRPr="00291998">
        <w:rPr>
          <w:rFonts w:ascii="Times New Roman" w:eastAsia="Times New Roman" w:hAnsi="Times New Roman" w:cs="Times New Roman"/>
          <w:kern w:val="0"/>
          <w:lang w:eastAsia="it-IT"/>
          <w14:ligatures w14:val="none"/>
        </w:rPr>
        <w:t xml:space="preserve"> dell’11 dicembre 2025, il termine del 31 dicembre 2025 dovrebbe slittare al 31 marzo 2026 per le micro e piccole imprese:</w:t>
      </w:r>
    </w:p>
    <w:p w14:paraId="114CFDA3" w14:textId="77777777"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che esercitano attività di somministrazione di alimenti e bevande;</w:t>
      </w:r>
    </w:p>
    <w:p w14:paraId="51AB027F" w14:textId="77777777"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turistico-ricettive.</w:t>
      </w:r>
    </w:p>
    <w:p w14:paraId="10EE2059" w14:textId="2016AC65" w:rsidR="00291998" w:rsidRPr="00291998" w:rsidRDefault="00291998" w:rsidP="00291998">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Dovrebbero quindi fruire del rinvio attività quali ristoranti, trattorie, pizzerie, ma anche alberghi, ostelli, B&amp;B organizzati in forma di impresa, affittacamere e case vacanza.</w:t>
      </w:r>
    </w:p>
    <w:p w14:paraId="74C6D2D9" w14:textId="1C0039D5"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Pr>
          <w:rFonts w:ascii="Times New Roman" w:eastAsia="Times New Roman" w:hAnsi="Times New Roman" w:cs="Times New Roman"/>
          <w:kern w:val="0"/>
          <w:lang w:eastAsia="it-IT"/>
          <w14:ligatures w14:val="none"/>
        </w:rPr>
        <w:t>Riepiloghiamo cosa prevede tale obbligo:</w:t>
      </w:r>
      <w:r w:rsidRPr="00291998">
        <w:rPr>
          <w:rFonts w:ascii="Times New Roman" w:eastAsia="Times New Roman" w:hAnsi="Times New Roman" w:cs="Times New Roman"/>
          <w:kern w:val="0"/>
          <w:lang w:eastAsia="it-IT"/>
          <w14:ligatures w14:val="none"/>
        </w:rPr>
        <w:t> </w:t>
      </w:r>
    </w:p>
    <w:p w14:paraId="0505FCA1" w14:textId="09AAE77D"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Pr>
          <w:rFonts w:ascii="Times New Roman" w:eastAsia="Times New Roman" w:hAnsi="Times New Roman" w:cs="Times New Roman"/>
          <w:b/>
          <w:bCs/>
          <w:kern w:val="0"/>
          <w:lang w:eastAsia="it-IT"/>
          <w14:ligatures w14:val="none"/>
        </w:rPr>
        <w:t>1</w:t>
      </w:r>
      <w:r w:rsidRPr="00291998">
        <w:rPr>
          <w:rFonts w:ascii="Times New Roman" w:eastAsia="Times New Roman" w:hAnsi="Times New Roman" w:cs="Times New Roman"/>
          <w:b/>
          <w:bCs/>
          <w:kern w:val="0"/>
          <w:lang w:eastAsia="it-IT"/>
          <w14:ligatures w14:val="none"/>
        </w:rPr>
        <w:t>.   Soggetti tenuti all’obbligo di stipula della polizza.</w:t>
      </w:r>
    </w:p>
    <w:p w14:paraId="5255395D" w14:textId="3EB63378" w:rsidR="00291998" w:rsidRPr="00291998" w:rsidRDefault="00291998" w:rsidP="00291998">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L’obbligo di stipula riguarda le imprese (società o imprese individuali) con sede legale in Italia e quelle con sede legale all’estero e con una stabile organizzazione in Italia, tenute all’iscrizione nel Registro delle imprese ex </w:t>
      </w:r>
      <w:hyperlink r:id="rId5" w:tgtFrame="_blank" w:history="1">
        <w:r w:rsidRPr="00291998">
          <w:rPr>
            <w:rFonts w:ascii="Times New Roman" w:eastAsia="Times New Roman" w:hAnsi="Times New Roman" w:cs="Times New Roman"/>
            <w:color w:val="0000FF"/>
            <w:kern w:val="0"/>
            <w:u w:val="single"/>
            <w:lang w:eastAsia="it-IT"/>
            <w14:ligatures w14:val="none"/>
          </w:rPr>
          <w:t>art. 2188</w:t>
        </w:r>
      </w:hyperlink>
      <w:r w:rsidRPr="00291998">
        <w:rPr>
          <w:rFonts w:ascii="Times New Roman" w:eastAsia="Times New Roman" w:hAnsi="Times New Roman" w:cs="Times New Roman"/>
          <w:kern w:val="0"/>
          <w:lang w:eastAsia="it-IT"/>
          <w14:ligatures w14:val="none"/>
        </w:rPr>
        <w:t> del Codice Civile, indipendentemente dalla sezione a cui sono iscritte (ordinaria o meno).</w:t>
      </w:r>
    </w:p>
    <w:p w14:paraId="7933EA37" w14:textId="588C8A02"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Pr>
          <w:rFonts w:ascii="Times New Roman" w:eastAsia="Times New Roman" w:hAnsi="Times New Roman" w:cs="Times New Roman"/>
          <w:b/>
          <w:bCs/>
          <w:kern w:val="0"/>
          <w:lang w:eastAsia="it-IT"/>
          <w14:ligatures w14:val="none"/>
        </w:rPr>
        <w:t>2</w:t>
      </w:r>
      <w:r w:rsidRPr="00291998">
        <w:rPr>
          <w:rFonts w:ascii="Times New Roman" w:eastAsia="Times New Roman" w:hAnsi="Times New Roman" w:cs="Times New Roman"/>
          <w:b/>
          <w:bCs/>
          <w:kern w:val="0"/>
          <w:lang w:eastAsia="it-IT"/>
          <w14:ligatures w14:val="none"/>
        </w:rPr>
        <w:t>.   Beni da assicurare.</w:t>
      </w:r>
    </w:p>
    <w:p w14:paraId="2BF4634A" w14:textId="24F5043E" w:rsidR="00291998" w:rsidRPr="00291998" w:rsidRDefault="00291998" w:rsidP="00291998">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xml:space="preserve">I contratti assicurativi devono essere stipulati a copertura dei danni ai beni di cui all’art. 2424, comma 1, sezione Attivo, voce B-II, numeri 1), 2) e 3) del </w:t>
      </w:r>
      <w:proofErr w:type="gramStart"/>
      <w:r w:rsidRPr="00291998">
        <w:rPr>
          <w:rFonts w:ascii="Times New Roman" w:eastAsia="Times New Roman" w:hAnsi="Times New Roman" w:cs="Times New Roman"/>
          <w:kern w:val="0"/>
          <w:lang w:eastAsia="it-IT"/>
          <w14:ligatures w14:val="none"/>
        </w:rPr>
        <w:t>Codice Civile</w:t>
      </w:r>
      <w:proofErr w:type="gramEnd"/>
      <w:r w:rsidRPr="00291998">
        <w:rPr>
          <w:rFonts w:ascii="Times New Roman" w:eastAsia="Times New Roman" w:hAnsi="Times New Roman" w:cs="Times New Roman"/>
          <w:kern w:val="0"/>
          <w:lang w:eastAsia="it-IT"/>
          <w14:ligatures w14:val="none"/>
        </w:rPr>
        <w:t>, vale a dire:</w:t>
      </w:r>
    </w:p>
    <w:p w14:paraId="5991D61D" w14:textId="77777777" w:rsidR="00291998" w:rsidRPr="00291998" w:rsidRDefault="00291998" w:rsidP="00112803">
      <w:pPr>
        <w:widowControl w:val="0"/>
        <w:spacing w:before="120" w:after="120" w:line="120" w:lineRule="atLeast"/>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terreni;</w:t>
      </w:r>
    </w:p>
    <w:p w14:paraId="4ACFF445" w14:textId="77777777" w:rsidR="00291998" w:rsidRPr="00291998" w:rsidRDefault="00291998" w:rsidP="00112803">
      <w:pPr>
        <w:widowControl w:val="0"/>
        <w:spacing w:before="120" w:after="120" w:line="120" w:lineRule="atLeast"/>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fabbricati;</w:t>
      </w:r>
    </w:p>
    <w:p w14:paraId="26DADDD3" w14:textId="77777777" w:rsidR="00291998" w:rsidRPr="00291998" w:rsidRDefault="00291998" w:rsidP="00112803">
      <w:pPr>
        <w:spacing w:before="120" w:after="120"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impianti e macchinari;</w:t>
      </w:r>
    </w:p>
    <w:p w14:paraId="357CAA90" w14:textId="77777777" w:rsidR="00291998" w:rsidRPr="00291998" w:rsidRDefault="00291998" w:rsidP="00112803">
      <w:pPr>
        <w:spacing w:before="120" w:after="120"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attrezzature industriali e commerciali.</w:t>
      </w:r>
    </w:p>
    <w:p w14:paraId="7279EC42" w14:textId="1A3A79DD" w:rsidR="00291998" w:rsidRPr="00291998" w:rsidRDefault="00291998" w:rsidP="00291998">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Sono esclusi dalla copertura assicurativa i beni immobili che risultino gravati da abuso edilizio o costruiti in carenza delle autorizzazioni previste ovvero gravati da abuso sorto successivamente alla data di costruzione</w:t>
      </w:r>
    </w:p>
    <w:p w14:paraId="6E6D7211" w14:textId="77777777"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L’obbligo riguarda non solo i beni di proprietà, ma tutti quelli utilizzati a qualsiasi titolo nell’attività d’impresa, quali i beni utilizzati attraverso contratti di locazione o di leasing.</w:t>
      </w:r>
    </w:p>
    <w:p w14:paraId="49CAA537" w14:textId="6A1790AA" w:rsid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Restano esclusi solo i beni già assistiti da una analoga copertura assicurativa, anche se stipulata da soggetti diversi dall’impresa che utilizza i beni.</w:t>
      </w:r>
    </w:p>
    <w:p w14:paraId="5ECF10F5" w14:textId="491EFA96" w:rsidR="00112803" w:rsidRPr="00291998" w:rsidRDefault="00112803"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112803">
        <w:rPr>
          <w:rFonts w:ascii="Times New Roman" w:eastAsia="Times New Roman" w:hAnsi="Times New Roman" w:cs="Times New Roman"/>
          <w:b/>
          <w:bCs/>
          <w:kern w:val="0"/>
          <w:lang w:eastAsia="it-IT"/>
          <w14:ligatures w14:val="none"/>
        </w:rPr>
        <w:t>Importante</w:t>
      </w:r>
      <w:r>
        <w:rPr>
          <w:rFonts w:ascii="Times New Roman" w:eastAsia="Times New Roman" w:hAnsi="Times New Roman" w:cs="Times New Roman"/>
          <w:b/>
          <w:bCs/>
          <w:kern w:val="0"/>
          <w:lang w:eastAsia="it-IT"/>
          <w14:ligatures w14:val="none"/>
        </w:rPr>
        <w:t xml:space="preserve">: </w:t>
      </w:r>
      <w:r w:rsidRPr="00112803">
        <w:rPr>
          <w:rFonts w:ascii="Times New Roman" w:eastAsia="Times New Roman" w:hAnsi="Times New Roman" w:cs="Times New Roman"/>
          <w:kern w:val="0"/>
          <w:lang w:eastAsia="it-IT"/>
          <w14:ligatures w14:val="none"/>
        </w:rPr>
        <w:t>è stato chiarito</w:t>
      </w:r>
      <w:r>
        <w:rPr>
          <w:rFonts w:ascii="Times New Roman" w:eastAsia="Times New Roman" w:hAnsi="Times New Roman" w:cs="Times New Roman"/>
          <w:b/>
          <w:bCs/>
          <w:kern w:val="0"/>
          <w:lang w:eastAsia="it-IT"/>
          <w14:ligatures w14:val="none"/>
        </w:rPr>
        <w:t xml:space="preserve"> </w:t>
      </w:r>
      <w:r w:rsidRPr="00112803">
        <w:rPr>
          <w:rFonts w:ascii="Times New Roman" w:eastAsia="Times New Roman" w:hAnsi="Times New Roman" w:cs="Times New Roman"/>
          <w:kern w:val="0"/>
          <w:lang w:eastAsia="it-IT"/>
          <w14:ligatures w14:val="none"/>
        </w:rPr>
        <w:t>che l’obbligo spetta al proprietario se titolare di partita IVA. Nel caso, però, che lo stesso non provveda occorre che provveda il gestore.</w:t>
      </w:r>
    </w:p>
    <w:p w14:paraId="39A7F7E9" w14:textId="374D77CF" w:rsidR="00291998" w:rsidRPr="00291998" w:rsidRDefault="00291998" w:rsidP="00112803">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In questo ambito, va segnalato che il DL. n. 39/2025 ha integrato l’art. 1-</w:t>
      </w:r>
      <w:r w:rsidRPr="00291998">
        <w:rPr>
          <w:rFonts w:ascii="Times New Roman" w:eastAsia="Times New Roman" w:hAnsi="Times New Roman" w:cs="Times New Roman"/>
          <w:i/>
          <w:iCs/>
          <w:kern w:val="0"/>
          <w:lang w:eastAsia="it-IT"/>
          <w14:ligatures w14:val="none"/>
        </w:rPr>
        <w:t>bis</w:t>
      </w:r>
      <w:r w:rsidRPr="00291998">
        <w:rPr>
          <w:rFonts w:ascii="Times New Roman" w:eastAsia="Times New Roman" w:hAnsi="Times New Roman" w:cs="Times New Roman"/>
          <w:kern w:val="0"/>
          <w:lang w:eastAsia="it-IT"/>
          <w14:ligatures w14:val="none"/>
        </w:rPr>
        <w:t>, comma 2, del DL. n. 155/2024 prevedendo che</w:t>
      </w:r>
      <w:r w:rsidRPr="00291998">
        <w:rPr>
          <w:rFonts w:ascii="Times New Roman" w:eastAsia="Times New Roman" w:hAnsi="Times New Roman" w:cs="Times New Roman"/>
          <w:i/>
          <w:iCs/>
          <w:kern w:val="0"/>
          <w:lang w:eastAsia="it-IT"/>
          <w14:ligatures w14:val="none"/>
        </w:rPr>
        <w:t> </w:t>
      </w:r>
      <w:r w:rsidRPr="00291998">
        <w:rPr>
          <w:rFonts w:ascii="Times New Roman" w:eastAsia="Times New Roman" w:hAnsi="Times New Roman" w:cs="Times New Roman"/>
          <w:kern w:val="0"/>
          <w:lang w:eastAsia="it-IT"/>
          <w14:ligatures w14:val="none"/>
        </w:rPr>
        <w:t xml:space="preserve">nel caso in cui l’imprenditore-conduttore assicuri beni di proprietà di terzi </w:t>
      </w:r>
      <w:r w:rsidRPr="00291998">
        <w:rPr>
          <w:rFonts w:ascii="Times New Roman" w:eastAsia="Times New Roman" w:hAnsi="Times New Roman" w:cs="Times New Roman"/>
          <w:kern w:val="0"/>
          <w:lang w:eastAsia="it-IT"/>
          <w14:ligatures w14:val="none"/>
        </w:rPr>
        <w:lastRenderedPageBreak/>
        <w:t>impiegati nella propria attività di impresa e provveda a comunicare al proprietario dei beni l’avvenuta stipulazione della polizza, l’indennizzo che poi eventualmente gli spetti per effetto di un evento catastrofale deve essere corrisposto al proprietario del bene.</w:t>
      </w:r>
    </w:p>
    <w:p w14:paraId="21660E60"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In questo caso, il proprietario è tenuto ad utilizzare l’indennizzo per il ripristino dei beni danneggiati o periti o della loro funzionalità.</w:t>
      </w:r>
    </w:p>
    <w:p w14:paraId="019D1178"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Nel caso in cui il proprietario non destini l’indennizzo al ripristino dei beni, l’imprenditore ha comunque diritto a una somma corrispondente al lucro cessante per il periodo di interruzione dell’attività di impresa a causa dell'evento catastrofale, nel limite del 40% dell'indennizzo percepito dal proprietario.</w:t>
      </w:r>
    </w:p>
    <w:p w14:paraId="6A764293" w14:textId="4A9578F2"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All’imprenditore che stipula la polizza è riconosciuto un privilegio sulle somme dovute dall’assicuratore per il rimborso dei premi che gli sono stati pagati e delle spese del contratto, oltre che per il lucro cessante.</w:t>
      </w:r>
    </w:p>
    <w:p w14:paraId="36F31C97" w14:textId="7AED26E6" w:rsidR="00291998" w:rsidRPr="00291998" w:rsidRDefault="002C3682"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Pr>
          <w:rFonts w:ascii="Times New Roman" w:eastAsia="Times New Roman" w:hAnsi="Times New Roman" w:cs="Times New Roman"/>
          <w:kern w:val="0"/>
          <w:lang w:eastAsia="it-IT"/>
          <w14:ligatures w14:val="none"/>
        </w:rPr>
        <w:t>Per</w:t>
      </w:r>
      <w:r w:rsidR="00291998" w:rsidRPr="00291998">
        <w:rPr>
          <w:rFonts w:ascii="Times New Roman" w:eastAsia="Times New Roman" w:hAnsi="Times New Roman" w:cs="Times New Roman"/>
          <w:kern w:val="0"/>
          <w:lang w:eastAsia="it-IT"/>
          <w14:ligatures w14:val="none"/>
        </w:rPr>
        <w:t xml:space="preserve"> le imprese individuali che svolgono la loro attività presso la propria abitazione sono tenute a stipulare una polizza per la porzione di edificio destinata all’attività dell’impresa.</w:t>
      </w:r>
    </w:p>
    <w:p w14:paraId="40A82158" w14:textId="7BFC6214" w:rsidR="00291998" w:rsidRPr="00291998" w:rsidRDefault="00291998" w:rsidP="00112803">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Infine, restano esclusi dall’obbligo di copertura assicurativa i veicoli iscritti al PRA, quindi nella sostanza tutti gli automezzi, e le merci.</w:t>
      </w:r>
    </w:p>
    <w:p w14:paraId="53842E50" w14:textId="77777777"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b/>
          <w:bCs/>
          <w:kern w:val="0"/>
          <w:lang w:eastAsia="it-IT"/>
          <w14:ligatures w14:val="none"/>
        </w:rPr>
        <w:t>4.   L’obbligo assicurativo.</w:t>
      </w:r>
    </w:p>
    <w:p w14:paraId="1CBD36D8" w14:textId="048A6CA9" w:rsidR="00291998" w:rsidRPr="00291998" w:rsidRDefault="00291998" w:rsidP="00112803">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Le polizze devono essere destinate alla copertura di danni direttamente cagionati da calamità naturali ed eventi catastrofali che si verifichino sul territorio nazionale.</w:t>
      </w:r>
    </w:p>
    <w:p w14:paraId="386F3279" w14:textId="77777777" w:rsidR="00291998" w:rsidRPr="00291998" w:rsidRDefault="00291998" w:rsidP="00291998">
      <w:pPr>
        <w:spacing w:before="100" w:beforeAutospacing="1" w:after="100" w:afterAutospacing="1"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Queste le tipologie di danni da assicurare:</w:t>
      </w:r>
    </w:p>
    <w:p w14:paraId="1CF01730" w14:textId="77777777" w:rsidR="00291998" w:rsidRPr="00291998" w:rsidRDefault="00291998" w:rsidP="00112803">
      <w:pPr>
        <w:spacing w:before="120" w:after="120"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sismi;</w:t>
      </w:r>
    </w:p>
    <w:p w14:paraId="41B64E00" w14:textId="77777777" w:rsidR="00291998" w:rsidRPr="00291998" w:rsidRDefault="00291998" w:rsidP="00112803">
      <w:pPr>
        <w:spacing w:before="120" w:after="120"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alluvioni;</w:t>
      </w:r>
    </w:p>
    <w:p w14:paraId="09DB2D5F" w14:textId="77777777" w:rsidR="00291998" w:rsidRPr="00291998" w:rsidRDefault="00291998" w:rsidP="00112803">
      <w:pPr>
        <w:spacing w:before="120" w:after="120"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frane;</w:t>
      </w:r>
    </w:p>
    <w:p w14:paraId="3868410C" w14:textId="77777777" w:rsidR="00291998" w:rsidRPr="00291998" w:rsidRDefault="00291998" w:rsidP="00112803">
      <w:pPr>
        <w:spacing w:before="120" w:after="120" w:line="240" w:lineRule="auto"/>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 xml:space="preserve">-      inondazioni </w:t>
      </w:r>
      <w:proofErr w:type="gramStart"/>
      <w:r w:rsidRPr="00291998">
        <w:rPr>
          <w:rFonts w:ascii="Times New Roman" w:eastAsia="Times New Roman" w:hAnsi="Times New Roman" w:cs="Times New Roman"/>
          <w:kern w:val="0"/>
          <w:lang w:eastAsia="it-IT"/>
          <w14:ligatures w14:val="none"/>
        </w:rPr>
        <w:t>e</w:t>
      </w:r>
      <w:proofErr w:type="gramEnd"/>
      <w:r w:rsidRPr="00291998">
        <w:rPr>
          <w:rFonts w:ascii="Times New Roman" w:eastAsia="Times New Roman" w:hAnsi="Times New Roman" w:cs="Times New Roman"/>
          <w:kern w:val="0"/>
          <w:lang w:eastAsia="it-IT"/>
          <w14:ligatures w14:val="none"/>
        </w:rPr>
        <w:t xml:space="preserve"> esondazioni.</w:t>
      </w:r>
    </w:p>
    <w:p w14:paraId="5A33CC1B"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lang w:eastAsia="it-IT"/>
          <w14:ligatures w14:val="none"/>
        </w:rPr>
        <w:t>La stipula dell’assicurazione è obbligatoria e in caso non venga stipulata viene previsto che se ne debba tener conto nell’assegnazione di contributi, sovvenzioni o agevolazioni di carattere finanziario a valere su risorse pubbliche, anche con riferimento a quelle previste in occasione di eventi calamitosi e catastrofali.</w:t>
      </w:r>
    </w:p>
    <w:p w14:paraId="3A5C8323"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color w:val="000000"/>
          <w:kern w:val="0"/>
          <w:shd w:val="clear" w:color="auto" w:fill="FFFFFF"/>
          <w:lang w:eastAsia="it-IT"/>
          <w14:ligatures w14:val="none"/>
        </w:rPr>
        <w:t>In altri termini, per le imprese inadempienti potrebbe scattare una sanzione “indiretta” data dall’impossibilità di accedere ad   agevolazioni o contributi pubblici.</w:t>
      </w:r>
    </w:p>
    <w:p w14:paraId="7A292894" w14:textId="7C29FD95"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color w:val="000000"/>
          <w:kern w:val="0"/>
          <w:shd w:val="clear" w:color="auto" w:fill="FFFFFF"/>
          <w:lang w:eastAsia="it-IT"/>
          <w14:ligatures w14:val="none"/>
        </w:rPr>
        <w:t>Inoltre, qualora si verificasse uno degli eventi previsti dell’obbligo, le imprese non assicurate rischierebbero di dover fare fronte autonomamente ai danni subiti, con importanti ripercussioni sull’operatività della propria attività.</w:t>
      </w:r>
    </w:p>
    <w:p w14:paraId="518F3219"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color w:val="000000"/>
          <w:kern w:val="0"/>
          <w:shd w:val="clear" w:color="auto" w:fill="FFFFFF"/>
          <w:lang w:eastAsia="it-IT"/>
          <w14:ligatures w14:val="none"/>
        </w:rPr>
        <w:t>È inoltre da segnalare che con decreto del 18 giugno 2025 il MIMIT ha individuato gli incentivi di sua competenza legati agli obblighi di stipula delle polizze catastrofali. Fra questi si segnalano:</w:t>
      </w:r>
    </w:p>
    <w:p w14:paraId="7D81B907"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shd w:val="clear" w:color="auto" w:fill="FFFFFF"/>
          <w:lang w:eastAsia="it-IT"/>
          <w14:ligatures w14:val="none"/>
        </w:rPr>
        <w:lastRenderedPageBreak/>
        <w:t xml:space="preserve">-      </w:t>
      </w:r>
      <w:r w:rsidRPr="00291998">
        <w:rPr>
          <w:rFonts w:ascii="Times New Roman" w:eastAsia="Times New Roman" w:hAnsi="Times New Roman" w:cs="Times New Roman"/>
          <w:color w:val="000000"/>
          <w:kern w:val="0"/>
          <w:shd w:val="clear" w:color="auto" w:fill="FFFFFF"/>
          <w:lang w:eastAsia="it-IT"/>
          <w14:ligatures w14:val="none"/>
        </w:rPr>
        <w:t>il “Sostegno alla nascita e allo sviluppo di start up innovative in tutto il territorio nazionale (Smart &amp; Start)” di cui al decreto del Ministro dello sviluppo economico 24 settembre 2014 e successive modifiche e integrazioni;</w:t>
      </w:r>
    </w:p>
    <w:p w14:paraId="74A448DC"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shd w:val="clear" w:color="auto" w:fill="FFFFFF"/>
          <w:lang w:eastAsia="it-IT"/>
          <w14:ligatures w14:val="none"/>
        </w:rPr>
        <w:t xml:space="preserve">-      </w:t>
      </w:r>
      <w:r w:rsidRPr="00291998">
        <w:rPr>
          <w:rFonts w:ascii="Times New Roman" w:eastAsia="Times New Roman" w:hAnsi="Times New Roman" w:cs="Times New Roman"/>
          <w:color w:val="000000"/>
          <w:kern w:val="0"/>
          <w:shd w:val="clear" w:color="auto" w:fill="FFFFFF"/>
          <w:lang w:eastAsia="it-IT"/>
          <w14:ligatures w14:val="none"/>
        </w:rPr>
        <w:t xml:space="preserve">il “Sostegno per l’autoproduzione di energia da fonti rinnovabili nelle PMI” di cui al decreto del Ministro delle imprese e del made in </w:t>
      </w:r>
      <w:proofErr w:type="spellStart"/>
      <w:r w:rsidRPr="00291998">
        <w:rPr>
          <w:rFonts w:ascii="Times New Roman" w:eastAsia="Times New Roman" w:hAnsi="Times New Roman" w:cs="Times New Roman"/>
          <w:color w:val="000000"/>
          <w:kern w:val="0"/>
          <w:shd w:val="clear" w:color="auto" w:fill="FFFFFF"/>
          <w:lang w:eastAsia="it-IT"/>
          <w14:ligatures w14:val="none"/>
        </w:rPr>
        <w:t>Italy</w:t>
      </w:r>
      <w:proofErr w:type="spellEnd"/>
      <w:r w:rsidRPr="00291998">
        <w:rPr>
          <w:rFonts w:ascii="Times New Roman" w:eastAsia="Times New Roman" w:hAnsi="Times New Roman" w:cs="Times New Roman"/>
          <w:color w:val="000000"/>
          <w:kern w:val="0"/>
          <w:shd w:val="clear" w:color="auto" w:fill="FFFFFF"/>
          <w:lang w:eastAsia="it-IT"/>
          <w14:ligatures w14:val="none"/>
        </w:rPr>
        <w:t xml:space="preserve"> 13 novembre 2024;</w:t>
      </w:r>
    </w:p>
    <w:p w14:paraId="5D8C21EC" w14:textId="77777777" w:rsidR="00291998" w:rsidRPr="00291998" w:rsidRDefault="00291998" w:rsidP="002C3682">
      <w:pPr>
        <w:spacing w:before="100" w:beforeAutospacing="1" w:after="100" w:afterAutospacing="1" w:line="240" w:lineRule="auto"/>
        <w:jc w:val="both"/>
        <w:rPr>
          <w:rFonts w:ascii="Times New Roman" w:eastAsia="Times New Roman" w:hAnsi="Times New Roman" w:cs="Times New Roman"/>
          <w:kern w:val="0"/>
          <w:lang w:eastAsia="it-IT"/>
          <w14:ligatures w14:val="none"/>
        </w:rPr>
      </w:pPr>
      <w:r w:rsidRPr="00291998">
        <w:rPr>
          <w:rFonts w:ascii="Times New Roman" w:eastAsia="Times New Roman" w:hAnsi="Times New Roman" w:cs="Times New Roman"/>
          <w:kern w:val="0"/>
          <w:shd w:val="clear" w:color="auto" w:fill="FFFFFF"/>
          <w:lang w:eastAsia="it-IT"/>
          <w14:ligatures w14:val="none"/>
        </w:rPr>
        <w:t xml:space="preserve">-      </w:t>
      </w:r>
      <w:r w:rsidRPr="00291998">
        <w:rPr>
          <w:rFonts w:ascii="Times New Roman" w:eastAsia="Times New Roman" w:hAnsi="Times New Roman" w:cs="Times New Roman"/>
          <w:color w:val="000000"/>
          <w:kern w:val="0"/>
          <w:shd w:val="clear" w:color="auto" w:fill="FFFFFF"/>
          <w:lang w:eastAsia="it-IT"/>
          <w14:ligatures w14:val="none"/>
        </w:rPr>
        <w:t>il “Finanziamento di start-up” di cui al decreto del Ministro dello sviluppo economico 11 marzo 2022;</w:t>
      </w:r>
    </w:p>
    <w:p w14:paraId="63FE3A44" w14:textId="77777777" w:rsidR="00291998" w:rsidRDefault="00291998" w:rsidP="002C3682">
      <w:pPr>
        <w:spacing w:before="100" w:beforeAutospacing="1" w:after="100" w:afterAutospacing="1" w:line="240" w:lineRule="auto"/>
        <w:jc w:val="both"/>
        <w:rPr>
          <w:rFonts w:ascii="Times New Roman" w:eastAsia="Times New Roman" w:hAnsi="Times New Roman" w:cs="Times New Roman"/>
          <w:color w:val="000000"/>
          <w:kern w:val="0"/>
          <w:shd w:val="clear" w:color="auto" w:fill="FFFFFF"/>
          <w:lang w:eastAsia="it-IT"/>
          <w14:ligatures w14:val="none"/>
        </w:rPr>
      </w:pPr>
      <w:r w:rsidRPr="00291998">
        <w:rPr>
          <w:rFonts w:ascii="Times New Roman" w:eastAsia="Times New Roman" w:hAnsi="Times New Roman" w:cs="Times New Roman"/>
          <w:kern w:val="0"/>
          <w:shd w:val="clear" w:color="auto" w:fill="FFFFFF"/>
          <w:lang w:eastAsia="it-IT"/>
          <w14:ligatures w14:val="none"/>
        </w:rPr>
        <w:t xml:space="preserve">-      </w:t>
      </w:r>
      <w:r w:rsidRPr="00291998">
        <w:rPr>
          <w:rFonts w:ascii="Times New Roman" w:eastAsia="Times New Roman" w:hAnsi="Times New Roman" w:cs="Times New Roman"/>
          <w:color w:val="000000"/>
          <w:kern w:val="0"/>
          <w:shd w:val="clear" w:color="auto" w:fill="FFFFFF"/>
          <w:lang w:eastAsia="it-IT"/>
          <w14:ligatures w14:val="none"/>
        </w:rPr>
        <w:t>il “Supporto a start-up e venture capital attivi nella transizione ecologica” di cui al decreto Ministro dello sviluppo economico 3 marzo 2022.</w:t>
      </w:r>
    </w:p>
    <w:p w14:paraId="04930DD0" w14:textId="77777777" w:rsidR="00112803" w:rsidRDefault="00112803" w:rsidP="002C3682">
      <w:pPr>
        <w:spacing w:before="100" w:beforeAutospacing="1" w:after="100" w:afterAutospacing="1" w:line="240" w:lineRule="auto"/>
        <w:jc w:val="both"/>
        <w:rPr>
          <w:rFonts w:ascii="Times New Roman" w:eastAsia="Times New Roman" w:hAnsi="Times New Roman" w:cs="Times New Roman"/>
          <w:color w:val="000000"/>
          <w:kern w:val="0"/>
          <w:shd w:val="clear" w:color="auto" w:fill="FFFFFF"/>
          <w:lang w:eastAsia="it-IT"/>
          <w14:ligatures w14:val="none"/>
        </w:rPr>
      </w:pPr>
    </w:p>
    <w:p w14:paraId="56AB1A60" w14:textId="24A1CD09" w:rsidR="00112803" w:rsidRPr="00291998" w:rsidRDefault="00112803" w:rsidP="00112803">
      <w:pPr>
        <w:spacing w:before="100" w:beforeAutospacing="1" w:after="100" w:afterAutospacing="1" w:line="240" w:lineRule="auto"/>
        <w:jc w:val="center"/>
        <w:rPr>
          <w:rFonts w:ascii="Times New Roman" w:eastAsia="Times New Roman" w:hAnsi="Times New Roman" w:cs="Times New Roman"/>
          <w:b/>
          <w:bCs/>
          <w:kern w:val="0"/>
          <w:lang w:eastAsia="it-IT"/>
          <w14:ligatures w14:val="none"/>
        </w:rPr>
      </w:pPr>
      <w:r w:rsidRPr="00112803">
        <w:rPr>
          <w:rFonts w:ascii="Times New Roman" w:eastAsia="Times New Roman" w:hAnsi="Times New Roman" w:cs="Times New Roman"/>
          <w:b/>
          <w:bCs/>
          <w:color w:val="000000"/>
          <w:kern w:val="0"/>
          <w:shd w:val="clear" w:color="auto" w:fill="FFFFFF"/>
          <w:lang w:eastAsia="it-IT"/>
          <w14:ligatures w14:val="none"/>
        </w:rPr>
        <w:t>OSSERVAZIONI</w:t>
      </w:r>
    </w:p>
    <w:p w14:paraId="15E39EB6" w14:textId="39EE190E" w:rsidR="00FF0724" w:rsidRDefault="00112803" w:rsidP="00FF0724">
      <w:pPr>
        <w:jc w:val="both"/>
      </w:pPr>
      <w:r>
        <w:t xml:space="preserve">Come </w:t>
      </w:r>
      <w:r w:rsidR="00FF0724">
        <w:t>si può notare la mancata stipula della polizza non comporta immediate sanzioni salvo che non si stiano richiedendo contributi statali/regionali e/o altri.</w:t>
      </w:r>
    </w:p>
    <w:p w14:paraId="50493418" w14:textId="04742F60" w:rsidR="00B20E6B" w:rsidRDefault="00FF0724" w:rsidP="00FF0724">
      <w:pPr>
        <w:jc w:val="both"/>
      </w:pPr>
      <w:proofErr w:type="gramStart"/>
      <w:r>
        <w:t>E’</w:t>
      </w:r>
      <w:proofErr w:type="gramEnd"/>
      <w:r>
        <w:t xml:space="preserve"> prevista, come scritto sopra, una proroga per alcune attività. Si sta discutendo se fare una proroga per estesa ad altre attività per cui personalmente consiglio di attendere il nuovo anno e vedere le ultime novità per poi decidere.</w:t>
      </w:r>
    </w:p>
    <w:p w14:paraId="51E19F31" w14:textId="21B27D10" w:rsidR="00FF0724" w:rsidRDefault="00FF0724" w:rsidP="00FF0724">
      <w:pPr>
        <w:jc w:val="both"/>
      </w:pPr>
      <w:r>
        <w:t>Si rimane comunque a disposizione per ogni ulteriore chiarimento.</w:t>
      </w:r>
    </w:p>
    <w:p w14:paraId="2CC27687" w14:textId="77777777" w:rsidR="00FF0724" w:rsidRDefault="00FF0724" w:rsidP="00FF0724">
      <w:pPr>
        <w:jc w:val="both"/>
      </w:pPr>
    </w:p>
    <w:p w14:paraId="50CA508D" w14:textId="6465B4D8" w:rsidR="00FF0724" w:rsidRDefault="00FF0724" w:rsidP="00FF0724">
      <w:pPr>
        <w:jc w:val="both"/>
      </w:pPr>
      <w:r>
        <w:t>Rimini 19/12/2025</w:t>
      </w:r>
    </w:p>
    <w:p w14:paraId="67634B0F" w14:textId="6F177CDD" w:rsidR="00FF0724" w:rsidRDefault="00FF0724" w:rsidP="00FF0724">
      <w:pPr>
        <w:jc w:val="both"/>
      </w:pPr>
      <w:r>
        <w:tab/>
      </w:r>
      <w:r>
        <w:tab/>
      </w:r>
      <w:r>
        <w:tab/>
      </w:r>
      <w:r>
        <w:tab/>
      </w:r>
      <w:r>
        <w:tab/>
      </w:r>
      <w:r>
        <w:tab/>
      </w:r>
      <w:r>
        <w:tab/>
      </w:r>
      <w:r>
        <w:tab/>
        <w:t>Studio Bruschi</w:t>
      </w:r>
    </w:p>
    <w:sectPr w:rsidR="00FF072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B728E5"/>
    <w:multiLevelType w:val="multilevel"/>
    <w:tmpl w:val="980EF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946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98"/>
    <w:rsid w:val="00112803"/>
    <w:rsid w:val="00291998"/>
    <w:rsid w:val="002C3682"/>
    <w:rsid w:val="00414BBE"/>
    <w:rsid w:val="00AE0A7E"/>
    <w:rsid w:val="00B20E6B"/>
    <w:rsid w:val="00FF07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E474A"/>
  <w15:chartTrackingRefBased/>
  <w15:docId w15:val="{2133FD8D-DAD0-4312-A989-72C9856AF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2919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919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91998"/>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91998"/>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91998"/>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91998"/>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91998"/>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91998"/>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91998"/>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91998"/>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91998"/>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91998"/>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91998"/>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91998"/>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91998"/>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91998"/>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91998"/>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91998"/>
    <w:rPr>
      <w:rFonts w:eastAsiaTheme="majorEastAsia" w:cstheme="majorBidi"/>
      <w:color w:val="272727" w:themeColor="text1" w:themeTint="D8"/>
    </w:rPr>
  </w:style>
  <w:style w:type="paragraph" w:styleId="Titolo">
    <w:name w:val="Title"/>
    <w:basedOn w:val="Normale"/>
    <w:next w:val="Normale"/>
    <w:link w:val="TitoloCarattere"/>
    <w:uiPriority w:val="10"/>
    <w:qFormat/>
    <w:rsid w:val="002919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91998"/>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91998"/>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91998"/>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91998"/>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91998"/>
    <w:rPr>
      <w:i/>
      <w:iCs/>
      <w:color w:val="404040" w:themeColor="text1" w:themeTint="BF"/>
    </w:rPr>
  </w:style>
  <w:style w:type="paragraph" w:styleId="Paragrafoelenco">
    <w:name w:val="List Paragraph"/>
    <w:basedOn w:val="Normale"/>
    <w:uiPriority w:val="34"/>
    <w:qFormat/>
    <w:rsid w:val="00291998"/>
    <w:pPr>
      <w:ind w:left="720"/>
      <w:contextualSpacing/>
    </w:pPr>
  </w:style>
  <w:style w:type="character" w:styleId="Enfasiintensa">
    <w:name w:val="Intense Emphasis"/>
    <w:basedOn w:val="Carpredefinitoparagrafo"/>
    <w:uiPriority w:val="21"/>
    <w:qFormat/>
    <w:rsid w:val="00291998"/>
    <w:rPr>
      <w:i/>
      <w:iCs/>
      <w:color w:val="0F4761" w:themeColor="accent1" w:themeShade="BF"/>
    </w:rPr>
  </w:style>
  <w:style w:type="paragraph" w:styleId="Citazioneintensa">
    <w:name w:val="Intense Quote"/>
    <w:basedOn w:val="Normale"/>
    <w:next w:val="Normale"/>
    <w:link w:val="CitazioneintensaCarattere"/>
    <w:uiPriority w:val="30"/>
    <w:qFormat/>
    <w:rsid w:val="002919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91998"/>
    <w:rPr>
      <w:i/>
      <w:iCs/>
      <w:color w:val="0F4761" w:themeColor="accent1" w:themeShade="BF"/>
    </w:rPr>
  </w:style>
  <w:style w:type="character" w:styleId="Riferimentointenso">
    <w:name w:val="Intense Reference"/>
    <w:basedOn w:val="Carpredefinitoparagrafo"/>
    <w:uiPriority w:val="32"/>
    <w:qFormat/>
    <w:rsid w:val="002919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utekne.it/Servizi/RassegnaLeggi/Recensione_Articolo.aspx?IdLegge=247&amp;IdArticolo=38357&amp;Codice_Materia=&amp;testo=&amp;ReLink=Yes"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920</Words>
  <Characters>5250</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Emanuele Bruschi</dc:creator>
  <cp:keywords/>
  <dc:description/>
  <cp:lastModifiedBy>Emanuele Bruschi</cp:lastModifiedBy>
  <cp:revision>1</cp:revision>
  <dcterms:created xsi:type="dcterms:W3CDTF">2025-12-19T10:19:00Z</dcterms:created>
  <dcterms:modified xsi:type="dcterms:W3CDTF">2025-12-19T11:24:00Z</dcterms:modified>
</cp:coreProperties>
</file>