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166BE" w14:textId="77777777" w:rsidR="007F0AB7" w:rsidRPr="007F0AB7" w:rsidRDefault="007F0AB7" w:rsidP="007F0AB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  <w14:ligatures w14:val="none"/>
        </w:rPr>
      </w:pPr>
      <w:r w:rsidRPr="007F0AB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  <w14:ligatures w14:val="none"/>
        </w:rPr>
        <w:t>Secondo acconto rinviato o a rate per autonomi o imprese individuali</w:t>
      </w:r>
    </w:p>
    <w:p w14:paraId="4BFFDA00" w14:textId="40C52183" w:rsidR="007F0AB7" w:rsidRDefault="007F0AB7" w:rsidP="007F0AB7">
      <w:pPr>
        <w:pStyle w:val="atext"/>
        <w:jc w:val="both"/>
      </w:pPr>
      <w:r>
        <w:t>Per autonomi e/o imprese individuali l</w:t>
      </w:r>
      <w:r>
        <w:t>’acconto delle imposte dirette per l’anno 2023, in scadenza ordinaria il 30 novembre 2023, in unica soluzione, si potrà anche pagare entro il 16 gennaio 2024, in unica soluzione, o in cinque rate mensili, con scadenza il 16 di ciascun mese</w:t>
      </w:r>
      <w:r>
        <w:t xml:space="preserve"> a partire dal 16 gennaio 2024</w:t>
      </w:r>
      <w:r>
        <w:t>. Resta ferma la scadenza del 30 novembre 2023 per i soci (non titolari di partita Iva) di società di persone o di capitali e per i collaboratori familiari e il coniuge del titolare d’impresa, salvo che non siano, a loro volta, titolari di partita Iva.</w:t>
      </w:r>
    </w:p>
    <w:p w14:paraId="315AFFB4" w14:textId="77777777" w:rsidR="007F0AB7" w:rsidRDefault="007F0AB7" w:rsidP="007F0AB7">
      <w:pPr>
        <w:pStyle w:val="atext"/>
        <w:jc w:val="both"/>
      </w:pPr>
      <w:r>
        <w:t xml:space="preserve">Sono questi i primi chiarimenti dell’agenzia delle Entrate, contenuti nella </w:t>
      </w:r>
      <w:hyperlink r:id="rId4" w:anchor="showdoc/40891395" w:tgtFrame="_self" w:history="1">
        <w:r>
          <w:rPr>
            <w:rStyle w:val="Collegamentoipertestuale"/>
          </w:rPr>
          <w:t>circolare 31/E del 9 novembre 2023</w:t>
        </w:r>
      </w:hyperlink>
      <w:r>
        <w:t xml:space="preserve">, sul rinvio del versamento della seconda rata di acconto per il 2023, di cui all’ </w:t>
      </w:r>
      <w:hyperlink r:id="rId5" w:anchor="showdoc/40798993" w:tgtFrame="_self" w:history="1">
        <w:r>
          <w:rPr>
            <w:rStyle w:val="Collegamentoipertestuale"/>
          </w:rPr>
          <w:t>articolo 4 del decreto legge 145 del 18 ottobre 2023</w:t>
        </w:r>
      </w:hyperlink>
      <w:r>
        <w:t>.</w:t>
      </w:r>
    </w:p>
    <w:p w14:paraId="0B105DBB" w14:textId="674B685C" w:rsidR="007F0AB7" w:rsidRDefault="007F0AB7" w:rsidP="007F0AB7">
      <w:pPr>
        <w:pStyle w:val="atext"/>
        <w:jc w:val="both"/>
      </w:pPr>
      <w:r>
        <w:t xml:space="preserve">È stabilito che, </w:t>
      </w:r>
      <w:r w:rsidRPr="007F0AB7">
        <w:rPr>
          <w:b/>
          <w:bCs/>
        </w:rPr>
        <w:t>per il solo periodo d’imposta 2023</w:t>
      </w:r>
      <w:r>
        <w:t xml:space="preserve">, le persone fisiche titolari di partita Iva che nel periodo d’imposta precedente dichiarano ricavi o compensi di ammontare non superiore a 170mila euro, effettuano il versamento della seconda rata di acconto dovuto in base alla dichiarazione dei redditi, con esclusione dei contributi previdenziali e assistenziali e dei premi assicurativi Inail, entro il 16 gennaio </w:t>
      </w:r>
      <w:r>
        <w:t>2024</w:t>
      </w:r>
      <w:r>
        <w:t>, oppure in 5 rate mensili di pari importo, a decorrere dal mese di gennaio, aventi scadenza il giorno 16 di ciascun mese. Sulle rate successive alla prima sono dovuti gli interessi del 4 per cento annuo.</w:t>
      </w:r>
    </w:p>
    <w:p w14:paraId="0DE89166" w14:textId="77777777" w:rsidR="007F0AB7" w:rsidRDefault="007F0AB7" w:rsidP="007F0AB7">
      <w:pPr>
        <w:pStyle w:val="atext"/>
        <w:jc w:val="both"/>
      </w:pPr>
      <w:r>
        <w:t>Per l’agenzia delle Entrate, possono avvalersi del differimento del termine di versamento del secondo acconto, per il solo anno 2023, le persone fisiche, imprenditori individuali o lavoratori autonomi, che contestualmente:</w:t>
      </w:r>
    </w:p>
    <w:p w14:paraId="2E1EADF4" w14:textId="77777777" w:rsidR="007F0AB7" w:rsidRDefault="007F0AB7" w:rsidP="00FC6F69">
      <w:pPr>
        <w:pStyle w:val="atext"/>
        <w:jc w:val="both"/>
      </w:pPr>
      <w:r>
        <w:t>– siano titolari di partita Iva;</w:t>
      </w:r>
    </w:p>
    <w:p w14:paraId="6A043072" w14:textId="56880334" w:rsidR="007F0AB7" w:rsidRDefault="007F0AB7" w:rsidP="00FC6F69">
      <w:pPr>
        <w:pStyle w:val="atext"/>
        <w:jc w:val="both"/>
      </w:pPr>
      <w:r>
        <w:t>– abbiano dichiarato, con riferimento al periodo d’imposta 2022, ricavi o compensi di ammontare non superiore a 170mila euro (indicati nel modello Redditi PF 2023).</w:t>
      </w:r>
      <w:r>
        <w:t xml:space="preserve"> </w:t>
      </w:r>
    </w:p>
    <w:p w14:paraId="0EE74739" w14:textId="77777777" w:rsidR="007F0AB7" w:rsidRDefault="007F0AB7" w:rsidP="00FC6F69">
      <w:pPr>
        <w:pStyle w:val="atext"/>
        <w:jc w:val="both"/>
      </w:pPr>
      <w:r>
        <w:t>Sono esclusi dal rinvio:</w:t>
      </w:r>
    </w:p>
    <w:p w14:paraId="59A41180" w14:textId="77777777" w:rsidR="007F0AB7" w:rsidRDefault="007F0AB7" w:rsidP="00FC6F69">
      <w:pPr>
        <w:pStyle w:val="atext"/>
        <w:jc w:val="both"/>
      </w:pPr>
      <w:r>
        <w:t>– le persone fisiche non titolari di partita Iva quali, ad esempio, i soci (non titolari di una propria partita Iva) di società di persone o di capitali i cui redditi siano stati ad essi imputati in applicazione del principio di trasparenza;</w:t>
      </w:r>
    </w:p>
    <w:p w14:paraId="06403365" w14:textId="77777777" w:rsidR="007F0AB7" w:rsidRDefault="007F0AB7" w:rsidP="00FC6F69">
      <w:pPr>
        <w:pStyle w:val="atext"/>
        <w:jc w:val="both"/>
      </w:pPr>
      <w:r>
        <w:t>– le persone fisiche titolari di partita Iva che, con riferimento all’anno d’imposta 2022 (modello Redditi persone fisiche 2023), dichiarino ricavi o compensi di ammontare superiore a 170mila euro;</w:t>
      </w:r>
    </w:p>
    <w:p w14:paraId="68005FA3" w14:textId="77777777" w:rsidR="007F0AB7" w:rsidRDefault="007F0AB7" w:rsidP="00FC6F69">
      <w:pPr>
        <w:pStyle w:val="atext"/>
        <w:jc w:val="both"/>
      </w:pPr>
      <w:r>
        <w:t>– i soggetti diversi dalle persone fisiche (quali, ad esempio, le società di capitali e gli enti non commerciali).</w:t>
      </w:r>
    </w:p>
    <w:p w14:paraId="57415859" w14:textId="238D48C4" w:rsidR="00816A34" w:rsidRDefault="00FC6F69">
      <w:r>
        <w:t>Rimini 10/11/2023</w:t>
      </w:r>
    </w:p>
    <w:p w14:paraId="2C4467F0" w14:textId="64C4CDA9" w:rsidR="00FC6F69" w:rsidRDefault="00FC6F6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Studio Bruschi</w:t>
      </w:r>
    </w:p>
    <w:sectPr w:rsidR="00FC6F6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505"/>
    <w:rsid w:val="003C5505"/>
    <w:rsid w:val="004349AD"/>
    <w:rsid w:val="007F0AB7"/>
    <w:rsid w:val="00816A34"/>
    <w:rsid w:val="00FC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B9153"/>
  <w15:chartTrackingRefBased/>
  <w15:docId w15:val="{27F03553-F122-4740-B8D9-D58FADBF9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text">
    <w:name w:val="atext"/>
    <w:basedOn w:val="Normale"/>
    <w:rsid w:val="007F0A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basedOn w:val="Carpredefinitoparagrafo"/>
    <w:uiPriority w:val="99"/>
    <w:semiHidden/>
    <w:unhideWhenUsed/>
    <w:rsid w:val="007F0A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2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tplusfisco.ilsole24ore.com/viewer?appid=4239&amp;redirect=false&amp;origine=fisco" TargetMode="External"/><Relationship Id="rId4" Type="http://schemas.openxmlformats.org/officeDocument/2006/relationships/hyperlink" Target="https://ntplusfisco.ilsole24ore.com/viewer?appid=4239&amp;redirect=false&amp;origine=fisco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Bruschi</dc:creator>
  <cp:keywords/>
  <dc:description/>
  <cp:lastModifiedBy>Emanuele Bruschi</cp:lastModifiedBy>
  <cp:revision>2</cp:revision>
  <dcterms:created xsi:type="dcterms:W3CDTF">2023-11-10T09:27:00Z</dcterms:created>
  <dcterms:modified xsi:type="dcterms:W3CDTF">2023-11-10T09:44:00Z</dcterms:modified>
</cp:coreProperties>
</file>