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85901" w14:textId="20F46CD8" w:rsidR="009B364A" w:rsidRPr="00180148" w:rsidRDefault="00180148" w:rsidP="00180148">
      <w:pPr>
        <w:jc w:val="center"/>
        <w:rPr>
          <w:b/>
          <w:bCs/>
        </w:rPr>
      </w:pPr>
      <w:r w:rsidRPr="00180148">
        <w:rPr>
          <w:b/>
          <w:bCs/>
        </w:rPr>
        <w:t>BLOCCO CESSIONI DEI CREDITI</w:t>
      </w:r>
    </w:p>
    <w:p w14:paraId="36FDC9DF" w14:textId="33748CB3" w:rsidR="00180148" w:rsidRDefault="00180148" w:rsidP="00180148">
      <w:pPr>
        <w:pStyle w:val="atext"/>
      </w:pPr>
      <w:r>
        <w:t>Risveglio amaro per tanti e senza alcun preavviso!</w:t>
      </w:r>
    </w:p>
    <w:p w14:paraId="7D5B804A" w14:textId="51C0A8E4" w:rsidR="00180148" w:rsidRDefault="00180148" w:rsidP="00180148">
      <w:pPr>
        <w:pStyle w:val="atext"/>
        <w:jc w:val="both"/>
      </w:pPr>
      <w:r>
        <w:t>Infatti</w:t>
      </w:r>
      <w:r w:rsidR="00B95B8D">
        <w:t>,</w:t>
      </w:r>
      <w:r>
        <w:t xml:space="preserve"> da oggi</w:t>
      </w:r>
      <w:r w:rsidR="00B95B8D">
        <w:t>,</w:t>
      </w:r>
      <w:r>
        <w:t xml:space="preserve"> vi è lo s</w:t>
      </w:r>
      <w:r>
        <w:t>top immediato alla cessione dei crediti e allo sconto in fattura; restano in pista solo le detrazioni</w:t>
      </w:r>
      <w:r>
        <w:t xml:space="preserve"> in dichiarazione dei redditi</w:t>
      </w:r>
      <w:r>
        <w:t xml:space="preserve">. Il Governo, con il </w:t>
      </w:r>
      <w:hyperlink r:id="rId4" w:tgtFrame="_blank" w:history="1">
        <w:r>
          <w:rPr>
            <w:rStyle w:val="Collegamentoipertestuale"/>
          </w:rPr>
          <w:t>Dl 11/2023</w:t>
        </w:r>
      </w:hyperlink>
      <w:r>
        <w:t xml:space="preserve"> pubblicato sulla «Gazzetta Ufficiale» n. 40 subito dopo l’approvazione nel Consiglio dei ministri di giovedì 16 febbraio e in vigore da venerdì 17 febbraio, tira giù la saracinesca del mercato dei crediti fiscali.</w:t>
      </w:r>
    </w:p>
    <w:p w14:paraId="2793F6E9" w14:textId="015E0FA3" w:rsidR="00180148" w:rsidRDefault="00180148" w:rsidP="00180148">
      <w:pPr>
        <w:pStyle w:val="atext"/>
        <w:jc w:val="both"/>
      </w:pPr>
      <w:r w:rsidRPr="00180148">
        <w:rPr>
          <w:b/>
          <w:bCs/>
        </w:rPr>
        <w:t>Non sarà un blocco immediato</w:t>
      </w:r>
      <w:r>
        <w:t>, perché i lavori già avviati avranno ancora a disposizione la possibilità di liquidare i bonus. Ma ci avviciniamo a grandi passi alla fine della tormentata vicenda della moneta fiscale.</w:t>
      </w:r>
    </w:p>
    <w:p w14:paraId="727405EF" w14:textId="77777777" w:rsidR="00180148" w:rsidRPr="00180148" w:rsidRDefault="00180148" w:rsidP="00180148">
      <w:pPr>
        <w:pStyle w:val="atext"/>
        <w:jc w:val="both"/>
        <w:rPr>
          <w:b/>
          <w:bCs/>
        </w:rPr>
      </w:pPr>
      <w:r>
        <w:t xml:space="preserve">Nel merito il decreto blocca l’esercizio di tutte le cessioni e gli sconti in fattura per tutte le tipologie di bonus edilizi (quindi: superbonus, ecobonus, bonus ristrutturazioni, facciate, sismabonus, barriere architettoniche). </w:t>
      </w:r>
      <w:r w:rsidRPr="00180148">
        <w:rPr>
          <w:b/>
          <w:bCs/>
        </w:rPr>
        <w:t>Saranno salvi, in ambito superbonus, le abitazioni unifamiliari per le quali sia stata presentata la Cilas prima dell’entrata in vigore del provvedimento. Per i condomini, invece, si guarderà alla data della delibera e alla Cilas.</w:t>
      </w:r>
      <w:r>
        <w:t xml:space="preserve"> </w:t>
      </w:r>
      <w:r w:rsidRPr="00180148">
        <w:rPr>
          <w:b/>
          <w:bCs/>
        </w:rPr>
        <w:t>Per i lavori diversi dal 110% sarà essenziale avere richiesto il titolo abilitativo o iniziato i lavori prima dell’entrata in vigore del decreto. Per gli acquisti di immobili si guarderà alla data del preliminare o del rogito.</w:t>
      </w:r>
    </w:p>
    <w:p w14:paraId="681491FD" w14:textId="2FA78A7A" w:rsidR="00180148" w:rsidRDefault="00180148" w:rsidP="00180148">
      <w:pPr>
        <w:pStyle w:val="atext"/>
        <w:jc w:val="both"/>
      </w:pPr>
      <w:r>
        <w:t>La macchina delle cessioni dei crediti, però, non viene smontata solo dal lato dei bonus casa. Saltano</w:t>
      </w:r>
      <w:r>
        <w:t xml:space="preserve">, ad esempio, </w:t>
      </w:r>
      <w:r>
        <w:t>anche le prime cessioni di tutti i bonus energia,</w:t>
      </w:r>
      <w:r>
        <w:t xml:space="preserve"> ecc</w:t>
      </w:r>
      <w:r>
        <w:t>. Ancora: l’esecutivo fa tabula rasa di tutti i riferimenti alla cessione dei crediti nelle norme sull’efficientamento energetico degli immobili. Per i crediti incagliati il decreto prova, comunque, a trovare una soluzione, chiarendo in via normativa quali sono i comportamenti che escludono la responsabilità di chi acquista.</w:t>
      </w:r>
    </w:p>
    <w:p w14:paraId="648494B0" w14:textId="0EF112F2" w:rsidR="00180148" w:rsidRDefault="00180148" w:rsidP="00180148">
      <w:pPr>
        <w:pStyle w:val="atext"/>
        <w:jc w:val="both"/>
      </w:pPr>
      <w:r>
        <w:t>Rimini 17/02/2023</w:t>
      </w:r>
    </w:p>
    <w:p w14:paraId="51707507" w14:textId="1D445759" w:rsidR="00180148" w:rsidRDefault="00180148" w:rsidP="00180148">
      <w:pPr>
        <w:pStyle w:val="atex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Studio Bruschi</w:t>
      </w:r>
    </w:p>
    <w:p w14:paraId="55FC653B" w14:textId="77777777" w:rsidR="00180148" w:rsidRDefault="00180148" w:rsidP="00180148">
      <w:pPr>
        <w:pStyle w:val="atext"/>
        <w:jc w:val="both"/>
      </w:pPr>
    </w:p>
    <w:p w14:paraId="6F862EDC" w14:textId="77777777" w:rsidR="00180148" w:rsidRDefault="00180148" w:rsidP="00180148">
      <w:pPr>
        <w:jc w:val="both"/>
      </w:pPr>
    </w:p>
    <w:sectPr w:rsidR="0018014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48"/>
    <w:rsid w:val="00180148"/>
    <w:rsid w:val="009B364A"/>
    <w:rsid w:val="00B95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8CC4E"/>
  <w15:chartTrackingRefBased/>
  <w15:docId w15:val="{673C74FB-1A8C-4321-B7D8-7796C89DC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text">
    <w:name w:val="atext"/>
    <w:basedOn w:val="Normale"/>
    <w:rsid w:val="0018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1801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3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azzettaufficiale.it/atto/serie_generale/caricaDettaglioAtto/originario?atto.dataPubblicazioneGazzetta=2023-02-16&amp;atto.codiceRedazionale=23G00020&amp;elenco30giorni=true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317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</dc:creator>
  <cp:keywords/>
  <dc:description/>
  <cp:lastModifiedBy>io</cp:lastModifiedBy>
  <cp:revision>2</cp:revision>
  <dcterms:created xsi:type="dcterms:W3CDTF">2023-02-17T10:33:00Z</dcterms:created>
  <dcterms:modified xsi:type="dcterms:W3CDTF">2023-02-17T10:39:00Z</dcterms:modified>
</cp:coreProperties>
</file>