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DAA80" w14:textId="77777777" w:rsidR="008A677A" w:rsidRPr="008A677A" w:rsidRDefault="008A677A" w:rsidP="008A677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8A67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In Gazzetta il Decreto PNRR e la L. 34/2022: novità fiscali in sintesi</w:t>
      </w:r>
    </w:p>
    <w:p w14:paraId="0E5B9A9F" w14:textId="66BE6049" w:rsidR="008A677A" w:rsidRPr="008A677A" w:rsidRDefault="008A677A" w:rsidP="008A67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stato pubblicato sulla </w:t>
      </w:r>
      <w:r w:rsidRPr="008A677A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Gazzetta Ufficiale </w:t>
      </w:r>
      <w:r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sabato, </w:t>
      </w:r>
      <w:r w:rsidRPr="008A677A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30 aprile</w:t>
      </w:r>
      <w:r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il </w:t>
      </w:r>
      <w:hyperlink r:id="rId4" w:tgtFrame="_blank" w:history="1">
        <w:r w:rsidRPr="008A677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D.L. 36/2022</w:t>
        </w:r>
      </w:hyperlink>
      <w:r w:rsidRPr="008A677A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r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>(</w:t>
      </w:r>
      <w:r w:rsidRPr="008A677A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Decreto PNRR</w:t>
      </w:r>
      <w:r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), che è quindi entrato in vigore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il</w:t>
      </w:r>
      <w:r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A677A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1° maggio</w:t>
      </w:r>
      <w:r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6B4780E1" w14:textId="77777777" w:rsidR="008A677A" w:rsidRPr="008A677A" w:rsidRDefault="008A677A" w:rsidP="008A67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 richiamano, di seguito, in sintesi, le </w:t>
      </w:r>
      <w:r w:rsidRPr="008A677A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principali novità fiscali</w:t>
      </w:r>
      <w:r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introdotte.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1"/>
        <w:gridCol w:w="6377"/>
      </w:tblGrid>
      <w:tr w:rsidR="008A677A" w:rsidRPr="008A677A" w14:paraId="5EF93679" w14:textId="77777777" w:rsidTr="007B5D7C">
        <w:trPr>
          <w:tblCellSpacing w:w="15" w:type="dxa"/>
        </w:trPr>
        <w:tc>
          <w:tcPr>
            <w:tcW w:w="3216" w:type="dxa"/>
            <w:vAlign w:val="center"/>
            <w:hideMark/>
          </w:tcPr>
          <w:p w14:paraId="31281DA4" w14:textId="77777777" w:rsidR="008A677A" w:rsidRPr="008A677A" w:rsidRDefault="008A677A" w:rsidP="008A6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hyperlink r:id="rId5" w:tgtFrame="_blank" w:history="1">
              <w:r w:rsidRPr="008A677A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>Articolo 18 D.L. 36/2022</w:t>
              </w:r>
            </w:hyperlink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Sanzioni per mancata accettazione dei pagamenti elettronici</w:t>
            </w:r>
          </w:p>
        </w:tc>
        <w:tc>
          <w:tcPr>
            <w:tcW w:w="6332" w:type="dxa"/>
            <w:vAlign w:val="center"/>
            <w:hideMark/>
          </w:tcPr>
          <w:p w14:paraId="53F4AA02" w14:textId="477EFB66" w:rsid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 partire dal 1^ giugno</w:t>
            </w:r>
            <w:r w:rsidR="007B5D7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sarà applicata la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sanzione di 30 euro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(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aumentata del 4 per cento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del valore della transazione rifiutata) in caso di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mancata accettazione di pagamenti “elettronici”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(di qualsiasi importo).</w:t>
            </w:r>
          </w:p>
          <w:p w14:paraId="150A7CE3" w14:textId="77777777" w:rsid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6B05F79D" w14:textId="7581F114" w:rsidR="007B5D7C" w:rsidRPr="008A677A" w:rsidRDefault="007B5D7C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8A677A" w:rsidRPr="008A677A" w14:paraId="37D1D2BD" w14:textId="77777777" w:rsidTr="007B5D7C">
        <w:trPr>
          <w:tblCellSpacing w:w="15" w:type="dxa"/>
        </w:trPr>
        <w:tc>
          <w:tcPr>
            <w:tcW w:w="3216" w:type="dxa"/>
            <w:vAlign w:val="center"/>
            <w:hideMark/>
          </w:tcPr>
          <w:p w14:paraId="19ABA44A" w14:textId="77777777" w:rsidR="008A677A" w:rsidRPr="008A677A" w:rsidRDefault="008A677A" w:rsidP="008A6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hyperlink r:id="rId6" w:tgtFrame="_blank" w:history="1">
              <w:r w:rsidRPr="008A677A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>Articolo 18 D.L. 36/2022</w:t>
              </w:r>
            </w:hyperlink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Fattura elettronica anche per minimi, forfettari e soggetti in regime 398/1991</w:t>
            </w:r>
          </w:p>
        </w:tc>
        <w:tc>
          <w:tcPr>
            <w:tcW w:w="6332" w:type="dxa"/>
            <w:vAlign w:val="center"/>
            <w:hideMark/>
          </w:tcPr>
          <w:p w14:paraId="312645B5" w14:textId="77777777" w:rsidR="007B5D7C" w:rsidRDefault="007B5D7C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3812981E" w14:textId="77777777" w:rsidR="007B5D7C" w:rsidRDefault="007B5D7C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7AB04B53" w14:textId="77777777" w:rsidR="007B5D7C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Sono state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soppresse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le disposizioni che prevedevano l’esclusione dall’obbligo di fatturazione elettronica:</w:t>
            </w:r>
          </w:p>
          <w:p w14:paraId="5985DE68" w14:textId="77777777" w:rsidR="00FF5DF1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–  per i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soggetti passivi che rientrano nel cosiddetto “regime di vantaggio” 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di cui all’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27, commi 1 e 2, D.L. 98/2011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e nel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regime forfettario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di cui all’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1, commi da 54 a 89, L. 190/2014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,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  <w:t xml:space="preserve">– per i soggetti passivi che hanno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esercitato l’opzione di cui alla L. 398/1991 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e che nel periodo d’imposta precedente hanno conseguito dall’esercizio di attività commerciali proventi per un importo non superiore a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euro 65.000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</w:p>
          <w:p w14:paraId="2D362D22" w14:textId="77777777" w:rsidR="00FF5DF1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 partire dal 1° luglio 2022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i soggetti appena richiamati che nell’anno precedente hanno conseguito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ricavi o compensi, ragguagliati ad anno, superiori a 25.000 euro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, saranno quindi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soggetti agli obblighi di fatturazione elettronica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  <w:t xml:space="preserve">Coloro che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non raggiungono invece la predetta soglia dei 25.000 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euro saranno tenuti alla fatturazione elettronica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dal 1° gennaio 2024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</w:p>
          <w:p w14:paraId="68CA66AC" w14:textId="126E3C35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In ogni caso, per il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terzo trimestre 2022 (luglio-settembre) non sono previste sanzioni a carico dei nuovi soggetti obbligati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se la fattura elettronica è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emessa entro il mese successivo 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 quello di effettuazione dell’operazione.</w:t>
            </w:r>
          </w:p>
        </w:tc>
      </w:tr>
      <w:tr w:rsidR="008A677A" w:rsidRPr="008A677A" w14:paraId="12BFBDC5" w14:textId="77777777" w:rsidTr="007B5D7C">
        <w:trPr>
          <w:tblCellSpacing w:w="15" w:type="dxa"/>
        </w:trPr>
        <w:tc>
          <w:tcPr>
            <w:tcW w:w="3216" w:type="dxa"/>
            <w:vAlign w:val="center"/>
            <w:hideMark/>
          </w:tcPr>
          <w:p w14:paraId="078E78FA" w14:textId="77777777" w:rsidR="008A677A" w:rsidRPr="008A677A" w:rsidRDefault="008A677A" w:rsidP="008A6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hyperlink r:id="rId7" w:tgtFrame="_blank" w:history="1">
              <w:r w:rsidRPr="008A677A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>Articolo 24 D.L. 36/2022</w:t>
              </w:r>
            </w:hyperlink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Potenziamento del sistema di monitoraggio sugli interventi da parte dell’Enea</w:t>
            </w:r>
          </w:p>
        </w:tc>
        <w:tc>
          <w:tcPr>
            <w:tcW w:w="6332" w:type="dxa"/>
            <w:vAlign w:val="center"/>
            <w:hideMark/>
          </w:tcPr>
          <w:p w14:paraId="237D0937" w14:textId="77777777" w:rsidR="00FF5DF1" w:rsidRDefault="00FF5DF1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759826E6" w14:textId="77777777" w:rsidR="00FF5DF1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È esteso a tutti gli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interventi sismabonus 110% l’obbligo di trasmissione dei dati all’Enea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(comunicazione prima non prevista, essendo sufficiente il deposito dell’asseverazione al Sue del Comune).</w:t>
            </w:r>
          </w:p>
          <w:p w14:paraId="7FC3B9E7" w14:textId="69194814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Cambiano anche le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finalità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della comunicazione all’Enea. Se in passato il fine era quello “</w:t>
            </w:r>
            <w:r w:rsidRPr="008A677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 xml:space="preserve">di effettuare il monitoraggio e la valutazione del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it-IT"/>
              </w:rPr>
              <w:t>risparmio energetico conseguito</w:t>
            </w:r>
            <w:r w:rsidRPr="008A677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 xml:space="preserve"> a seguito della realizzazione degli interventi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”, il Decreto PNRR richiama invece lo scopo di “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it-IT"/>
              </w:rPr>
              <w:t>garantire la corretta attuazione del Piano nazionale di ripresa e resilienza</w:t>
            </w:r>
            <w:r w:rsidRPr="008A677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 xml:space="preserve">…. nonché al fine di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it-IT"/>
              </w:rPr>
              <w:t>effettuare il monitoraggio degli interventi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”.</w:t>
            </w:r>
          </w:p>
        </w:tc>
      </w:tr>
      <w:tr w:rsidR="008A677A" w:rsidRPr="008A677A" w14:paraId="38011D33" w14:textId="77777777" w:rsidTr="00FF5DF1">
        <w:trPr>
          <w:tblCellSpacing w:w="15" w:type="dxa"/>
        </w:trPr>
        <w:tc>
          <w:tcPr>
            <w:tcW w:w="3216" w:type="dxa"/>
            <w:vAlign w:val="center"/>
          </w:tcPr>
          <w:p w14:paraId="60DFE2F1" w14:textId="33771E8C" w:rsidR="008A677A" w:rsidRPr="008A677A" w:rsidRDefault="008A677A" w:rsidP="008A6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6332" w:type="dxa"/>
            <w:vAlign w:val="center"/>
          </w:tcPr>
          <w:p w14:paraId="0812101F" w14:textId="09EF114B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14:paraId="1DCA0040" w14:textId="365A04ED" w:rsidR="008A677A" w:rsidRPr="008A677A" w:rsidRDefault="00FF5DF1" w:rsidP="008A67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="008A677A"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ricorda, inoltre, che giovedì scorso è stata pubblicata in Gazzetta Ufficiale anche la </w:t>
      </w:r>
      <w:r w:rsidR="008A677A" w:rsidRPr="008A677A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legge di conversione del Decreto Energia </w:t>
      </w:r>
      <w:r w:rsidR="008A677A"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>(L. 34/2022, di conversione, con modificazioni, del D.L. 17/2022).</w:t>
      </w:r>
    </w:p>
    <w:p w14:paraId="69785F1B" w14:textId="77777777" w:rsidR="008A677A" w:rsidRPr="008A677A" w:rsidRDefault="008A677A" w:rsidP="008A67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L’entrata in vigore del provvedimento è stata prevista a decorrere da </w:t>
      </w:r>
      <w:r w:rsidRPr="008A677A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venerdì 29 aprile</w:t>
      </w:r>
      <w:r w:rsidRPr="008A677A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6"/>
        <w:gridCol w:w="6722"/>
      </w:tblGrid>
      <w:tr w:rsidR="008A677A" w:rsidRPr="008A677A" w14:paraId="304B3863" w14:textId="77777777" w:rsidTr="00FF5DF1">
        <w:trPr>
          <w:tblCellSpacing w:w="15" w:type="dxa"/>
        </w:trPr>
        <w:tc>
          <w:tcPr>
            <w:tcW w:w="2940" w:type="dxa"/>
            <w:vAlign w:val="center"/>
          </w:tcPr>
          <w:p w14:paraId="49E57011" w14:textId="461242CB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6945" w:type="dxa"/>
            <w:vAlign w:val="center"/>
          </w:tcPr>
          <w:p w14:paraId="02090D2D" w14:textId="367BCA72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8A677A" w:rsidRPr="008A677A" w14:paraId="096A16B9" w14:textId="77777777" w:rsidTr="00FF5DF1">
        <w:trPr>
          <w:tblCellSpacing w:w="15" w:type="dxa"/>
        </w:trPr>
        <w:tc>
          <w:tcPr>
            <w:tcW w:w="2940" w:type="dxa"/>
            <w:vAlign w:val="center"/>
          </w:tcPr>
          <w:p w14:paraId="50BEFAEB" w14:textId="219C8103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6945" w:type="dxa"/>
            <w:vAlign w:val="center"/>
          </w:tcPr>
          <w:p w14:paraId="49ACE8C1" w14:textId="4599353F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8A677A" w:rsidRPr="008A677A" w14:paraId="5222C917" w14:textId="77777777" w:rsidTr="008A677A">
        <w:trPr>
          <w:tblCellSpacing w:w="15" w:type="dxa"/>
        </w:trPr>
        <w:tc>
          <w:tcPr>
            <w:tcW w:w="2940" w:type="dxa"/>
            <w:vAlign w:val="center"/>
            <w:hideMark/>
          </w:tcPr>
          <w:p w14:paraId="45F66C2E" w14:textId="77777777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25 bis D.L. 17/2022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Credito d’imposta pubblicità 2023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6945" w:type="dxa"/>
            <w:vAlign w:val="center"/>
            <w:hideMark/>
          </w:tcPr>
          <w:p w14:paraId="19A10AAA" w14:textId="77777777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A decorrere dall’anno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2023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, il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credito d’imposta pubblicità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è concesso nella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misura unica del 75%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del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valore incrementale degli investimenti 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effettuati in campagne pubblicitarie esclusivamente sulla stampa quotidiana e periodica, anche </w:t>
            </w:r>
            <w:r w:rsidRPr="008A677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>on line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</w:p>
        </w:tc>
      </w:tr>
      <w:tr w:rsidR="008A677A" w:rsidRPr="008A677A" w14:paraId="32C47725" w14:textId="77777777" w:rsidTr="008A677A">
        <w:trPr>
          <w:tblCellSpacing w:w="15" w:type="dxa"/>
        </w:trPr>
        <w:tc>
          <w:tcPr>
            <w:tcW w:w="2940" w:type="dxa"/>
            <w:vAlign w:val="center"/>
            <w:hideMark/>
          </w:tcPr>
          <w:p w14:paraId="1DC1E9C9" w14:textId="77777777" w:rsidR="00FF5DF1" w:rsidRDefault="00FF5DF1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34AE7753" w14:textId="77777777" w:rsidR="00FF5DF1" w:rsidRDefault="00FF5DF1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25293750" w14:textId="77777777" w:rsidR="00FF5DF1" w:rsidRDefault="00FF5DF1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1B894D13" w14:textId="242471A9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29 D.L. 17/2022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Riapertura dei termini per la rivalutazione di terreni e partecipazioni</w:t>
            </w:r>
          </w:p>
        </w:tc>
        <w:tc>
          <w:tcPr>
            <w:tcW w:w="6945" w:type="dxa"/>
            <w:vAlign w:val="center"/>
            <w:hideMark/>
          </w:tcPr>
          <w:p w14:paraId="15576D8D" w14:textId="77777777" w:rsidR="00FF5DF1" w:rsidRDefault="00FF5DF1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1EB559BC" w14:textId="77777777" w:rsidR="00306356" w:rsidRDefault="00306356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7D5EA3F2" w14:textId="1DF0172A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È differito al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15 novembre 2022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(in luogo del 15 giugno) il termine per la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rivalutazione dei terreni e delle partecipazioni non quotate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</w:p>
        </w:tc>
      </w:tr>
      <w:tr w:rsidR="008A677A" w:rsidRPr="008A677A" w14:paraId="63AD4C38" w14:textId="77777777" w:rsidTr="008A677A">
        <w:trPr>
          <w:tblCellSpacing w:w="15" w:type="dxa"/>
        </w:trPr>
        <w:tc>
          <w:tcPr>
            <w:tcW w:w="2940" w:type="dxa"/>
            <w:vAlign w:val="center"/>
            <w:hideMark/>
          </w:tcPr>
          <w:p w14:paraId="453B703F" w14:textId="77777777" w:rsidR="00FF5DF1" w:rsidRDefault="00FF5DF1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106A2E4B" w14:textId="77777777" w:rsidR="00FF5DF1" w:rsidRDefault="00FF5DF1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1D2D3215" w14:textId="77777777" w:rsidR="00FF5DF1" w:rsidRDefault="00FF5DF1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361BA693" w14:textId="69E72053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29-bis D.L. 17/2022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Detrazioni edilizie: quarta cessione ammessa a favore dei correntisti</w:t>
            </w:r>
          </w:p>
        </w:tc>
        <w:tc>
          <w:tcPr>
            <w:tcW w:w="6945" w:type="dxa"/>
            <w:vAlign w:val="center"/>
            <w:hideMark/>
          </w:tcPr>
          <w:p w14:paraId="74BBCD7B" w14:textId="77777777" w:rsidR="00306356" w:rsidRDefault="00306356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5EFD352E" w14:textId="77777777" w:rsidR="00306356" w:rsidRDefault="00306356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5DD230F7" w14:textId="63C6DC45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Alle banche, in relazione ai crediti per i quali è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esaurito il numero delle possibili cessioni ammesse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(una a favore di chiunque e due soltanto a favore di banche e intermediari finanziari), è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consentita un’ulteriore cessione esclusivamente a favore dei soggetti con i quali abbiano stipulato un contratto di conto corrente, senza facoltà di ulteriore cessione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</w:p>
        </w:tc>
      </w:tr>
      <w:tr w:rsidR="008A677A" w:rsidRPr="008A677A" w14:paraId="39222BCD" w14:textId="77777777" w:rsidTr="008A677A">
        <w:trPr>
          <w:tblCellSpacing w:w="15" w:type="dxa"/>
        </w:trPr>
        <w:tc>
          <w:tcPr>
            <w:tcW w:w="2940" w:type="dxa"/>
            <w:vAlign w:val="center"/>
            <w:hideMark/>
          </w:tcPr>
          <w:p w14:paraId="14FBB6F1" w14:textId="77777777" w:rsidR="00FF5DF1" w:rsidRDefault="00FF5DF1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575088DD" w14:textId="77777777" w:rsidR="00FF5DF1" w:rsidRDefault="00FF5DF1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4AEF1E00" w14:textId="77777777" w:rsidR="00FF5DF1" w:rsidRDefault="00FF5DF1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0A51EE0B" w14:textId="112A401F" w:rsidR="008A677A" w:rsidRPr="008A677A" w:rsidRDefault="008A677A" w:rsidP="00FF5D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29-ter D.L. 17/2022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Cessione del credito e sconto in fattura: termine di comunicazione differito per soggetti Ires e partite Iva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6945" w:type="dxa"/>
            <w:vAlign w:val="center"/>
            <w:hideMark/>
          </w:tcPr>
          <w:p w14:paraId="731D8B9A" w14:textId="77777777" w:rsidR="00306356" w:rsidRDefault="00306356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382AD3A9" w14:textId="77777777" w:rsidR="00306356" w:rsidRDefault="00306356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0425CC7B" w14:textId="184B9ED5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Slitta al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15 ottobre 2022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il termine per effettuare la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 comunicazione per la cessione del credito e lo sconto in fattura </w:t>
            </w:r>
            <w:r w:rsidR="003D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2021 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per i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soggetti Ires e per i titolari di partita Iva che sono tenuti a presentare la dichiarazione dei redditi entro il 30 novembre 2022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</w:p>
        </w:tc>
      </w:tr>
      <w:tr w:rsidR="008A677A" w:rsidRPr="008A677A" w14:paraId="342AB8B9" w14:textId="77777777" w:rsidTr="008A677A">
        <w:trPr>
          <w:tblCellSpacing w:w="15" w:type="dxa"/>
        </w:trPr>
        <w:tc>
          <w:tcPr>
            <w:tcW w:w="2940" w:type="dxa"/>
            <w:vAlign w:val="center"/>
            <w:hideMark/>
          </w:tcPr>
          <w:p w14:paraId="72BB10BF" w14:textId="77777777" w:rsidR="00FF5DF1" w:rsidRDefault="00FF5DF1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0FB4D60F" w14:textId="1CEAB1FE" w:rsidR="00FF5DF1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38, comma 1bis, D.L. 17/2022</w:t>
            </w:r>
          </w:p>
          <w:p w14:paraId="28056245" w14:textId="2784B041" w:rsidR="00FF5DF1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Contratti di comodato con finalità umanitarie:</w:t>
            </w:r>
          </w:p>
          <w:p w14:paraId="6EF73C40" w14:textId="7197CA4E" w:rsidR="008A677A" w:rsidRPr="008A677A" w:rsidRDefault="008A677A" w:rsidP="008A6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esenzione da imposta di registro</w:t>
            </w:r>
          </w:p>
        </w:tc>
        <w:tc>
          <w:tcPr>
            <w:tcW w:w="6945" w:type="dxa"/>
            <w:vAlign w:val="center"/>
            <w:hideMark/>
          </w:tcPr>
          <w:p w14:paraId="1DCF48DB" w14:textId="77777777" w:rsidR="008A677A" w:rsidRPr="008A677A" w:rsidRDefault="008A677A" w:rsidP="008A677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Fino al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31 dicembre 2022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, gli atti per la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registrazione dei contratti di comodato d’uso gratuito con finalità umanitarie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a favore di cittadini di nazionalità ucraina e di altri soggetti provenienti comunque dall’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Ucraina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</w:t>
            </w:r>
            <w:r w:rsidRPr="008A6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sono esenti dall’imposta di registro</w:t>
            </w:r>
            <w:r w:rsidRPr="008A6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</w:p>
        </w:tc>
      </w:tr>
    </w:tbl>
    <w:p w14:paraId="32D430DF" w14:textId="4F05FBFD" w:rsidR="008A12DE" w:rsidRDefault="008A12DE"/>
    <w:p w14:paraId="33A103FC" w14:textId="208323D3" w:rsidR="007535D8" w:rsidRDefault="007535D8">
      <w:r>
        <w:t>Rimini 02/05/2022</w:t>
      </w:r>
    </w:p>
    <w:p w14:paraId="295DCCA8" w14:textId="0E810354" w:rsidR="007535D8" w:rsidRDefault="007535D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Studio Bruschi</w:t>
      </w:r>
    </w:p>
    <w:sectPr w:rsidR="007535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77A"/>
    <w:rsid w:val="00306356"/>
    <w:rsid w:val="003D39A6"/>
    <w:rsid w:val="007535D8"/>
    <w:rsid w:val="007B5D7C"/>
    <w:rsid w:val="008A12DE"/>
    <w:rsid w:val="008A677A"/>
    <w:rsid w:val="00FF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B8387"/>
  <w15:chartTrackingRefBased/>
  <w15:docId w15:val="{B6454EFC-8BCC-4B0A-BD5E-C0C92872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8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8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ortale.ecevolution.it/loginServlet?encParam=5A609037C3FD53161B3A7340F3BA77D98EA782AB51A64B3E76200C0B46237202A6282D8DDD00B02070EDBDDDA7EB77FB4663E6AB3C3B42EE3D93E6CA5C2FFD1C3DF689C6C3FA6A5D98AA94630EF5D1ED9204EF83436D1AAC984E54B9051A7AEAF1C6901545E80D31FA92D92F3E4827BA9990277BE89B814AAF0600DA14C4773E1BE13357310B7B6C905F273D32CB8F7272BA4D5CAE8378D3B418BD0C2279A531995B87684F348A3C332D457DC938691EC4B9810711A4D20745CAB093FE60DD6617E259C82454DAC53833794A0D503FD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e.ecevolution.it/loginServlet?encParam=5A609037C3FD53161B3A7340F3BA77D98EA782AB51A64B3E76200C0B46237202A6282D8DDD00B02070EDBDDDA7EB77FB4663E6AB3C3B42EE3D93E6CA5C2FFD1C3DF689C6C3FA6A5D98AA94630EF5D1ED9204EF83436D1AAC984E54B9051A7AEA3028E2123084E3DBC1CCEF7B00C33D72E6AC30E16C59F02F7C8AFD715F54FC2C3F528ABA430A79CC43D2DD464BEEB154AC6066B41BFC21DD49350719E62B26F2330D3545496CFEE682E1138A5C72C6E0AB432BC041F1C32374E53999CFA11F595953BC982141954AA736E76A4B9093C7" TargetMode="External"/><Relationship Id="rId5" Type="http://schemas.openxmlformats.org/officeDocument/2006/relationships/hyperlink" Target="https://portale.ecevolution.it/loginServlet?encParam=5A609037C3FD53161B3A7340F3BA77D98EA782AB51A64B3E76200C0B46237202A6282D8DDD00B02070EDBDDDA7EB77FB4663E6AB3C3B42EE3D93E6CA5C2FFD1C3DF689C6C3FA6A5D98AA94630EF5D1ED9204EF83436D1AAC984E54B9051A7AEA3028E2123084E3DBC1CCEF7B00C33D72E6AC30E16C59F02F7C8AFD715F54FC2C3F528ABA430A79CC43D2DD464BEEB154AC6066B41BFC21DD49350719E62B26F2330D3545496CFEE682E1138A5C72C6E0AB432BC041F1C32374E53999CFA11F595953BC982141954AA736E76A4B9093C7" TargetMode="External"/><Relationship Id="rId4" Type="http://schemas.openxmlformats.org/officeDocument/2006/relationships/hyperlink" Target="https://portale.ecevolution.it/loginServlet?encParam=5A609037C3FD53161B3A7340F3BA77D9F0A37C4D827B76C8E9D33AF7FD9E4FEA7718AC858A9B845A927BC29B9AA59E6CA31D08C0F65BD001CC52F72522BA6E4B1EDF95F3E80BE50611F2AFF6AE61255CBF7508E0CC37D366815A686A2EF595A5B764CC403278B7735465B26AED09B64F58C7720CD884CFC07A28E72864E266488FFD16414E68CFE46BF0718284A6D68167A3D37927BE7E14D111268A800A9EC386E6E8C54CC41BF2AE95802900CBA638CF77AEC38AE1D94372446EA64A97C3B247B89E668764D65ACDBD88232C954F7B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</dc:creator>
  <cp:keywords/>
  <dc:description/>
  <cp:lastModifiedBy>io</cp:lastModifiedBy>
  <cp:revision>4</cp:revision>
  <dcterms:created xsi:type="dcterms:W3CDTF">2022-05-02T10:29:00Z</dcterms:created>
  <dcterms:modified xsi:type="dcterms:W3CDTF">2022-05-02T12:42:00Z</dcterms:modified>
</cp:coreProperties>
</file>