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CBB152" w14:textId="77777777" w:rsidR="00EC6799" w:rsidRDefault="00EC6799" w:rsidP="00EC679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>C</w:t>
      </w:r>
      <w:r w:rsidRPr="00EC679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>onvertito in legge il Milleproroghe:</w:t>
      </w:r>
    </w:p>
    <w:p w14:paraId="61DF8AD9" w14:textId="7F6A9464" w:rsidR="00EC6799" w:rsidRPr="00EC6799" w:rsidRDefault="00EC6799" w:rsidP="00EC679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EC679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 xml:space="preserve"> le principali novità in sintesi</w:t>
      </w:r>
    </w:p>
    <w:p w14:paraId="11707054" w14:textId="73D3687F" w:rsidR="00EC6799" w:rsidRPr="00EC6799" w:rsidRDefault="00EC6799" w:rsidP="00EC679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Vediamo le maggiori novità del decreto milleproroghe approvato in data 24/02/2022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929"/>
        <w:gridCol w:w="6619"/>
      </w:tblGrid>
      <w:tr w:rsidR="00EC6799" w:rsidRPr="00EC6799" w14:paraId="076F687D" w14:textId="77777777" w:rsidTr="00EC6799">
        <w:trPr>
          <w:trHeight w:val="2171"/>
        </w:trPr>
        <w:tc>
          <w:tcPr>
            <w:tcW w:w="2929" w:type="dxa"/>
            <w:hideMark/>
          </w:tcPr>
          <w:p w14:paraId="2191F63F" w14:textId="36FEBFA1" w:rsidR="00EC6799" w:rsidRPr="00EC6799" w:rsidRDefault="00EC6799" w:rsidP="00EC679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C67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Rateazioni: nuovi termini per i decaduti</w:t>
            </w:r>
            <w:r w:rsidRPr="00EC679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br/>
            </w:r>
            <w:r w:rsidRPr="00EC67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Articolo 2-ter</w:t>
            </w:r>
          </w:p>
        </w:tc>
        <w:tc>
          <w:tcPr>
            <w:tcW w:w="6619" w:type="dxa"/>
            <w:hideMark/>
          </w:tcPr>
          <w:p w14:paraId="34582BF5" w14:textId="77777777" w:rsidR="00EC6799" w:rsidRPr="00EC6799" w:rsidRDefault="00EC6799" w:rsidP="00EC679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C679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Vengono riaperti i termini per presentare la </w:t>
            </w:r>
            <w:r w:rsidRPr="00EC67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richiesta di rateazione</w:t>
            </w:r>
            <w:r w:rsidRPr="00EC679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a favore dei contribuenti con </w:t>
            </w:r>
            <w:r w:rsidRPr="00EC67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piani di dilazione per i quali, prima dell’8 marzo 2020</w:t>
            </w:r>
            <w:r w:rsidRPr="00EC679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(21 febbraio 2020 per i contribuenti della zona rossa), </w:t>
            </w:r>
            <w:r w:rsidRPr="00EC67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sia intervenuta la decadenza dal beneficio</w:t>
            </w:r>
            <w:r w:rsidRPr="00EC679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.</w:t>
            </w:r>
          </w:p>
          <w:p w14:paraId="58C7E37F" w14:textId="359B3876" w:rsidR="00EC6799" w:rsidRPr="00EC6799" w:rsidRDefault="00EC6799" w:rsidP="00EC679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C679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La richiesta può essere </w:t>
            </w:r>
            <w:r w:rsidRPr="00EC67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presentata dal 1° gennaio 2022 fino al 30 aprile 2022</w:t>
            </w:r>
            <w:r w:rsidRPr="00EC679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.</w:t>
            </w:r>
          </w:p>
        </w:tc>
      </w:tr>
      <w:tr w:rsidR="00EC6799" w:rsidRPr="00EC6799" w14:paraId="6756AE2E" w14:textId="77777777" w:rsidTr="00EC6799">
        <w:trPr>
          <w:trHeight w:val="1833"/>
        </w:trPr>
        <w:tc>
          <w:tcPr>
            <w:tcW w:w="2929" w:type="dxa"/>
            <w:hideMark/>
          </w:tcPr>
          <w:p w14:paraId="580845B8" w14:textId="4142CA11" w:rsidR="00EC6799" w:rsidRPr="00EC6799" w:rsidRDefault="00EC6799" w:rsidP="00EC679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C67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Riduzione del capitale per perdite</w:t>
            </w:r>
            <w:r w:rsidRPr="00EC679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br/>
            </w:r>
            <w:r w:rsidRPr="00EC67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Articolo 3, comma 1-ter</w:t>
            </w:r>
          </w:p>
        </w:tc>
        <w:tc>
          <w:tcPr>
            <w:tcW w:w="6619" w:type="dxa"/>
            <w:hideMark/>
          </w:tcPr>
          <w:p w14:paraId="31A02275" w14:textId="7D9AF942" w:rsidR="00EC6799" w:rsidRPr="00EC6799" w:rsidRDefault="00EC6799" w:rsidP="00EC679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C679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Anche per le </w:t>
            </w:r>
            <w:r w:rsidRPr="00EC67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perdite emerse nell’esercizio in corso al 31 dicembre 2021</w:t>
            </w:r>
            <w:r w:rsidRPr="00EC679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</w:t>
            </w:r>
            <w:r w:rsidRPr="00EC67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non si applicano alcuni obblighi previsti dal codice civile</w:t>
            </w:r>
            <w:r w:rsidRPr="00EC679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per le società di capitali a protezione del capitale sociale (tra cui l’</w:t>
            </w:r>
            <w:r w:rsidRPr="00EC67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 xml:space="preserve">obbligo di riduzione del capitale </w:t>
            </w:r>
            <w:r w:rsidRPr="00EC679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e lo </w:t>
            </w:r>
            <w:r w:rsidRPr="00EC67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scioglimento di società</w:t>
            </w:r>
            <w:r w:rsidRPr="00EC679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per riduzione del capitale al di sotto del minimo legale).</w:t>
            </w:r>
          </w:p>
        </w:tc>
      </w:tr>
      <w:tr w:rsidR="00EC6799" w:rsidRPr="00EC6799" w14:paraId="395265C2" w14:textId="77777777" w:rsidTr="00EC6799">
        <w:trPr>
          <w:trHeight w:val="1831"/>
        </w:trPr>
        <w:tc>
          <w:tcPr>
            <w:tcW w:w="2929" w:type="dxa"/>
            <w:hideMark/>
          </w:tcPr>
          <w:p w14:paraId="2242E643" w14:textId="4006398E" w:rsidR="00EC6799" w:rsidRPr="00EC6799" w:rsidRDefault="00EC6799" w:rsidP="00EC679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C67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 xml:space="preserve">Sospensione degli ammortamenti </w:t>
            </w:r>
            <w:r w:rsidRPr="00EC679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br/>
            </w:r>
            <w:r w:rsidRPr="00EC67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Articolo 3, comma 5-quinquiesdecies</w:t>
            </w:r>
          </w:p>
        </w:tc>
        <w:tc>
          <w:tcPr>
            <w:tcW w:w="6619" w:type="dxa"/>
            <w:hideMark/>
          </w:tcPr>
          <w:p w14:paraId="7B885C85" w14:textId="4255F69F" w:rsidR="00EC6799" w:rsidRPr="00EC6799" w:rsidRDefault="00EC6799" w:rsidP="00EC679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C679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Viene riconosciuta la </w:t>
            </w:r>
            <w:r w:rsidRPr="00EC67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 xml:space="preserve">facoltà di sospendere l’ammortamento delle immobilizzazioni </w:t>
            </w:r>
            <w:r w:rsidRPr="00EC679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anche all’</w:t>
            </w:r>
            <w:r w:rsidRPr="00EC67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esercizio successivo a quello in corso al 15 agosto 2020</w:t>
            </w:r>
            <w:r w:rsidRPr="00EC679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(questa possibilità, quindi, viene ora riconosciuta a tutti, e non soltanto a coloro che nell’esercizio precedente non hanno effettuato il 100 per cento annuo dell’ammortamento).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Solo ai fini civili??</w:t>
            </w:r>
          </w:p>
        </w:tc>
      </w:tr>
      <w:tr w:rsidR="00EC6799" w:rsidRPr="00EC6799" w14:paraId="1811D7C6" w14:textId="77777777" w:rsidTr="00EC6799">
        <w:tc>
          <w:tcPr>
            <w:tcW w:w="2929" w:type="dxa"/>
            <w:hideMark/>
          </w:tcPr>
          <w:p w14:paraId="7FA639D4" w14:textId="3B3BFE5C" w:rsidR="00EC6799" w:rsidRPr="00EC6799" w:rsidRDefault="00EC6799" w:rsidP="00EC679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C67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 xml:space="preserve">Limitazioni all’uso del contante </w:t>
            </w:r>
            <w:r w:rsidRPr="00EC679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br/>
            </w:r>
            <w:r w:rsidRPr="00EC67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Articolo 3, comma 6-septies</w:t>
            </w:r>
            <w:r w:rsidRPr="00EC679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br/>
            </w:r>
            <w:r w:rsidRPr="00EC67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6619" w:type="dxa"/>
            <w:hideMark/>
          </w:tcPr>
          <w:p w14:paraId="27057979" w14:textId="37FDD0D9" w:rsidR="00EC6799" w:rsidRPr="00EC6799" w:rsidRDefault="00EC6799" w:rsidP="00EC679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C679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Il limite per la circolazione del contante </w:t>
            </w:r>
            <w:r w:rsidRPr="00EC67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torna ad essere quello di 2.000 euro</w:t>
            </w:r>
            <w:r w:rsidRPr="00EC679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(con possibilità, quindi, di trasferimenti in contanti fino a 1.999,99 euro) </w:t>
            </w:r>
            <w:r w:rsidRPr="00EC67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fino al 31 dicembre 2022</w:t>
            </w:r>
            <w:r w:rsidRPr="00EC679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, per </w:t>
            </w:r>
            <w:r w:rsidRPr="00EC67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ridursi nuovamente a 1.000 euro a decorrere dal 1° gennaio 2023</w:t>
            </w:r>
            <w:r w:rsidRPr="00EC679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.</w:t>
            </w:r>
          </w:p>
        </w:tc>
      </w:tr>
      <w:tr w:rsidR="00EC6799" w:rsidRPr="00EC6799" w14:paraId="0D39ABF0" w14:textId="77777777" w:rsidTr="00EC6799">
        <w:trPr>
          <w:trHeight w:val="2147"/>
        </w:trPr>
        <w:tc>
          <w:tcPr>
            <w:tcW w:w="2929" w:type="dxa"/>
            <w:hideMark/>
          </w:tcPr>
          <w:p w14:paraId="7F8F7EF9" w14:textId="3CE74B41" w:rsidR="00EC6799" w:rsidRPr="00EC6799" w:rsidRDefault="00EC6799" w:rsidP="00EC679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C67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Credito d’imposta beni strumentali: proroga dei termini per l’effettuazione degli investimenti</w:t>
            </w:r>
            <w:r w:rsidRPr="00EC679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br/>
            </w:r>
            <w:r w:rsidRPr="00EC67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Articolo 3-quater</w:t>
            </w:r>
          </w:p>
        </w:tc>
        <w:tc>
          <w:tcPr>
            <w:tcW w:w="6619" w:type="dxa"/>
            <w:hideMark/>
          </w:tcPr>
          <w:p w14:paraId="3F071191" w14:textId="569EC756" w:rsidR="00EC6799" w:rsidRPr="00EC6799" w:rsidRDefault="00EC6799" w:rsidP="00EC679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C679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Trova applicazione la favorevole disciplina prevista per il </w:t>
            </w:r>
            <w:r w:rsidRPr="00EC67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credito d’imposta beni strumentali nell’anno 2021</w:t>
            </w:r>
            <w:r w:rsidRPr="00EC679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anche per gli investimenti </w:t>
            </w:r>
            <w:r w:rsidRPr="00EC67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effettuati entro il 30 dicembre 2022</w:t>
            </w:r>
            <w:r w:rsidRPr="00EC679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(e non solo fino al 30 giugno 2022), </w:t>
            </w:r>
            <w:r w:rsidRPr="00EC67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sempre a condizione</w:t>
            </w:r>
            <w:r w:rsidRPr="00EC679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che entro la data del 31 dicembre 2021 il relativo </w:t>
            </w:r>
            <w:r w:rsidRPr="00EC67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ordine risulti accettato</w:t>
            </w:r>
            <w:r w:rsidRPr="00EC679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dal venditore e sia </w:t>
            </w:r>
            <w:r w:rsidRPr="00EC67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avvenuto il pagamento di acconti</w:t>
            </w:r>
            <w:r w:rsidRPr="00EC679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in misura almeno </w:t>
            </w:r>
            <w:r w:rsidRPr="00EC67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pari al 20 per cento del costo di acquisizione</w:t>
            </w:r>
            <w:r w:rsidRPr="00EC679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.</w:t>
            </w:r>
          </w:p>
        </w:tc>
      </w:tr>
      <w:tr w:rsidR="00EC6799" w:rsidRPr="00EC6799" w14:paraId="316EE8DC" w14:textId="77777777" w:rsidTr="00EC6799">
        <w:tc>
          <w:tcPr>
            <w:tcW w:w="2929" w:type="dxa"/>
            <w:hideMark/>
          </w:tcPr>
          <w:p w14:paraId="7885DBDE" w14:textId="7BB36C49" w:rsidR="00EC6799" w:rsidRPr="00EC6799" w:rsidRDefault="00EC6799" w:rsidP="00EC679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C67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Visto e asseverazione per gli interventi edilizi “minori”: decorrenza esonero</w:t>
            </w:r>
            <w:r w:rsidRPr="00EC679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br/>
            </w:r>
            <w:r w:rsidRPr="00EC67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Articolo 3-sexies</w:t>
            </w:r>
            <w:r w:rsidRPr="00EC679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br/>
            </w:r>
            <w:r w:rsidRPr="00EC67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6619" w:type="dxa"/>
            <w:hideMark/>
          </w:tcPr>
          <w:p w14:paraId="4250D101" w14:textId="2C38D9D2" w:rsidR="00EC6799" w:rsidRPr="00EC6799" w:rsidRDefault="00EC6799" w:rsidP="00EC679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C679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Viene precisato che </w:t>
            </w:r>
            <w:r w:rsidRPr="00EC67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per le spese sostenute dal 12 novembre 2021 fino al 31 dicembre 2021</w:t>
            </w:r>
            <w:r w:rsidRPr="00EC679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per interventi edilizi agevolabili (bonus edilizi diversi dal superbonus, ad eccezione del bonus facciate) in </w:t>
            </w:r>
            <w:r w:rsidRPr="00EC67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edilizia libera</w:t>
            </w:r>
            <w:r w:rsidRPr="00EC679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o di </w:t>
            </w:r>
            <w:r w:rsidRPr="00EC67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importo complessivo non superiore a 10.000 euro</w:t>
            </w:r>
            <w:r w:rsidRPr="00EC679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, </w:t>
            </w:r>
            <w:r w:rsidRPr="00EC67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non ricorre l’obbligo del visto di conformità e dell’attestazione della congruità delle spese</w:t>
            </w:r>
            <w:r w:rsidRPr="00EC679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.</w:t>
            </w:r>
          </w:p>
        </w:tc>
      </w:tr>
    </w:tbl>
    <w:p w14:paraId="2D7C520D" w14:textId="231D44FD" w:rsidR="00296EE4" w:rsidRDefault="00296EE4"/>
    <w:p w14:paraId="34EC5ECD" w14:textId="6AFD9D7C" w:rsidR="00EC6799" w:rsidRDefault="00EC6799"/>
    <w:p w14:paraId="1E8F9509" w14:textId="4F65F8C3" w:rsidR="00EC6799" w:rsidRDefault="00B114F8" w:rsidP="00B114F8">
      <w:pPr>
        <w:jc w:val="center"/>
        <w:rPr>
          <w:b/>
          <w:bCs/>
          <w:sz w:val="28"/>
          <w:szCs w:val="28"/>
        </w:rPr>
      </w:pPr>
      <w:r w:rsidRPr="00B114F8">
        <w:rPr>
          <w:b/>
          <w:bCs/>
          <w:sz w:val="28"/>
          <w:szCs w:val="28"/>
        </w:rPr>
        <w:lastRenderedPageBreak/>
        <w:t>RIVALUTAZIONE QUOTE E TERRENI</w:t>
      </w:r>
    </w:p>
    <w:p w14:paraId="16053865" w14:textId="128C7C40" w:rsidR="00B114F8" w:rsidRPr="007F0F6A" w:rsidRDefault="00B114F8" w:rsidP="007F0F6A">
      <w:pPr>
        <w:jc w:val="both"/>
        <w:rPr>
          <w:rFonts w:ascii="Times New Roman" w:hAnsi="Times New Roman" w:cs="Times New Roman"/>
          <w:sz w:val="24"/>
          <w:szCs w:val="24"/>
        </w:rPr>
      </w:pPr>
      <w:r w:rsidRPr="007F0F6A">
        <w:rPr>
          <w:rFonts w:ascii="Times New Roman" w:hAnsi="Times New Roman" w:cs="Times New Roman"/>
          <w:sz w:val="24"/>
          <w:szCs w:val="24"/>
        </w:rPr>
        <w:t>Con i</w:t>
      </w:r>
      <w:r w:rsidRPr="007F0F6A">
        <w:rPr>
          <w:rFonts w:ascii="Times New Roman" w:hAnsi="Times New Roman" w:cs="Times New Roman"/>
          <w:sz w:val="24"/>
          <w:szCs w:val="24"/>
        </w:rPr>
        <w:t>l decreto Energia</w:t>
      </w:r>
      <w:r w:rsidRPr="007F0F6A">
        <w:rPr>
          <w:rFonts w:ascii="Times New Roman" w:hAnsi="Times New Roman" w:cs="Times New Roman"/>
          <w:sz w:val="24"/>
          <w:szCs w:val="24"/>
        </w:rPr>
        <w:t xml:space="preserve"> </w:t>
      </w:r>
      <w:r w:rsidRPr="007F0F6A">
        <w:rPr>
          <w:rFonts w:ascii="Times New Roman" w:hAnsi="Times New Roman" w:cs="Times New Roman"/>
          <w:b/>
          <w:bCs/>
          <w:sz w:val="24"/>
          <w:szCs w:val="24"/>
        </w:rPr>
        <w:t>(in attesa di approvazione)</w:t>
      </w:r>
      <w:r w:rsidRPr="007F0F6A">
        <w:rPr>
          <w:rFonts w:ascii="Times New Roman" w:hAnsi="Times New Roman" w:cs="Times New Roman"/>
          <w:sz w:val="24"/>
          <w:szCs w:val="24"/>
        </w:rPr>
        <w:t xml:space="preserve">, </w:t>
      </w:r>
      <w:r w:rsidRPr="007F0F6A">
        <w:rPr>
          <w:rFonts w:ascii="Times New Roman" w:hAnsi="Times New Roman" w:cs="Times New Roman"/>
          <w:sz w:val="24"/>
          <w:szCs w:val="24"/>
        </w:rPr>
        <w:t xml:space="preserve">viene riammessa, </w:t>
      </w:r>
      <w:r w:rsidRPr="007F0F6A">
        <w:rPr>
          <w:rFonts w:ascii="Times New Roman" w:hAnsi="Times New Roman" w:cs="Times New Roman"/>
          <w:sz w:val="24"/>
          <w:szCs w:val="24"/>
        </w:rPr>
        <w:t>anche per il 2022</w:t>
      </w:r>
      <w:r w:rsidRPr="007F0F6A">
        <w:rPr>
          <w:rFonts w:ascii="Times New Roman" w:hAnsi="Times New Roman" w:cs="Times New Roman"/>
          <w:sz w:val="24"/>
          <w:szCs w:val="24"/>
        </w:rPr>
        <w:t>,</w:t>
      </w:r>
      <w:r w:rsidRPr="007F0F6A">
        <w:rPr>
          <w:rFonts w:ascii="Times New Roman" w:hAnsi="Times New Roman" w:cs="Times New Roman"/>
          <w:sz w:val="24"/>
          <w:szCs w:val="24"/>
        </w:rPr>
        <w:t xml:space="preserve"> la rideterminazione del valore di acquisto di quote e terreni posseduti da persone fisich</w:t>
      </w:r>
      <w:r w:rsidRPr="007F0F6A">
        <w:rPr>
          <w:rFonts w:ascii="Times New Roman" w:hAnsi="Times New Roman" w:cs="Times New Roman"/>
          <w:sz w:val="24"/>
          <w:szCs w:val="24"/>
        </w:rPr>
        <w:t>e</w:t>
      </w:r>
      <w:r w:rsidRPr="007F0F6A">
        <w:rPr>
          <w:rFonts w:ascii="Times New Roman" w:hAnsi="Times New Roman" w:cs="Times New Roman"/>
          <w:sz w:val="24"/>
          <w:szCs w:val="24"/>
        </w:rPr>
        <w:t>.</w:t>
      </w:r>
    </w:p>
    <w:p w14:paraId="6E042F4E" w14:textId="684A4B89" w:rsidR="00B114F8" w:rsidRPr="007F0F6A" w:rsidRDefault="00B114F8" w:rsidP="007F0F6A">
      <w:pPr>
        <w:jc w:val="both"/>
        <w:rPr>
          <w:rFonts w:ascii="Times New Roman" w:hAnsi="Times New Roman" w:cs="Times New Roman"/>
          <w:sz w:val="24"/>
          <w:szCs w:val="24"/>
        </w:rPr>
      </w:pPr>
      <w:r w:rsidRPr="007F0F6A">
        <w:rPr>
          <w:rFonts w:ascii="Times New Roman" w:hAnsi="Times New Roman" w:cs="Times New Roman"/>
          <w:sz w:val="24"/>
          <w:szCs w:val="24"/>
        </w:rPr>
        <w:t xml:space="preserve">E’ </w:t>
      </w:r>
      <w:r w:rsidRPr="007F0F6A">
        <w:rPr>
          <w:rFonts w:ascii="Times New Roman" w:hAnsi="Times New Roman" w:cs="Times New Roman"/>
          <w:sz w:val="24"/>
          <w:szCs w:val="24"/>
        </w:rPr>
        <w:t>possibile accedere all’agevolazione in relazione alle partecipazioni e ai terreni posseduti al 1° gennaio 2022, pagando però un’imposta sostitutiva più elevata</w:t>
      </w:r>
      <w:r w:rsidRPr="007F0F6A">
        <w:rPr>
          <w:rFonts w:ascii="Times New Roman" w:hAnsi="Times New Roman" w:cs="Times New Roman"/>
          <w:sz w:val="24"/>
          <w:szCs w:val="24"/>
        </w:rPr>
        <w:t xml:space="preserve"> rispetto alle precedente edizioni e precisamente</w:t>
      </w:r>
      <w:r w:rsidRPr="007F0F6A">
        <w:rPr>
          <w:rFonts w:ascii="Times New Roman" w:hAnsi="Times New Roman" w:cs="Times New Roman"/>
          <w:sz w:val="24"/>
          <w:szCs w:val="24"/>
        </w:rPr>
        <w:t xml:space="preserve"> con aliquota del 14%. Per versare l’imposta sostituiva e per procedere alla redazione e all’asseverazione della perizia di stima c’è tempo fino al 15 giugno 2022.</w:t>
      </w:r>
    </w:p>
    <w:p w14:paraId="61FFE55C" w14:textId="400C39A3" w:rsidR="00B114F8" w:rsidRPr="00B114F8" w:rsidRDefault="00B114F8" w:rsidP="007F0F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F0F6A">
        <w:rPr>
          <w:rFonts w:ascii="Times New Roman" w:eastAsia="Times New Roman" w:hAnsi="Times New Roman" w:cs="Times New Roman"/>
          <w:sz w:val="24"/>
          <w:szCs w:val="24"/>
          <w:lang w:eastAsia="it-IT"/>
        </w:rPr>
        <w:t>In pratica, i</w:t>
      </w:r>
      <w:r w:rsidRPr="00B114F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ntervenendo sull’art. 2, comma 2, D.L. n. 282/2002, viene nuovamente differito il termine per il </w:t>
      </w:r>
      <w:r w:rsidRPr="00B114F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versamento</w:t>
      </w:r>
      <w:r w:rsidRPr="00B114F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dell’imposta sostitutiva dovuta per la rivalutazione fiscale di terreni e partecipazioni posseduti alla data del 1° gennaio 2022, nonché per la redazione della relativa </w:t>
      </w:r>
      <w:r w:rsidRPr="00B114F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perizia giurata di stima</w:t>
      </w:r>
      <w:r w:rsidRPr="00B114F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facendolo slittare al </w:t>
      </w:r>
      <w:r w:rsidRPr="00B114F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15 giugno 2022</w:t>
      </w:r>
      <w:r w:rsidRPr="00B114F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. </w:t>
      </w:r>
    </w:p>
    <w:p w14:paraId="5CA13B93" w14:textId="77777777" w:rsidR="007F0F6A" w:rsidRPr="007F0F6A" w:rsidRDefault="007F0F6A" w:rsidP="007F0F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310EE68B" w14:textId="10E92E48" w:rsidR="00B114F8" w:rsidRPr="00B114F8" w:rsidRDefault="00B114F8" w:rsidP="007F0F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B114F8">
        <w:rPr>
          <w:rFonts w:ascii="Times New Roman" w:eastAsia="Times New Roman" w:hAnsi="Times New Roman" w:cs="Times New Roman"/>
          <w:sz w:val="24"/>
          <w:szCs w:val="24"/>
          <w:lang w:eastAsia="it-IT"/>
        </w:rPr>
        <w:t>In particolare, viene previsto che l’imposta sostitutiva (14%) dovuta per le partecipazioni in società non quotate e per terreni posseduti alla suddetta data del 1° gennaio 2022, può essere versata:</w:t>
      </w:r>
    </w:p>
    <w:p w14:paraId="23AF4075" w14:textId="77777777" w:rsidR="00B114F8" w:rsidRPr="00B114F8" w:rsidRDefault="00B114F8" w:rsidP="007F0F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B114F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- </w:t>
      </w:r>
      <w:r w:rsidRPr="00B114F8">
        <w:rPr>
          <w:rFonts w:ascii="Times New Roman" w:eastAsia="Times New Roman" w:hAnsi="Times New Roman" w:cs="Times New Roman"/>
          <w:sz w:val="24"/>
          <w:szCs w:val="24"/>
          <w:lang w:eastAsia="it-IT"/>
        </w:rPr>
        <w:t>in un’unica soluzione entro il 15 giugno 2022;</w:t>
      </w:r>
    </w:p>
    <w:p w14:paraId="154899CE" w14:textId="77777777" w:rsidR="00B114F8" w:rsidRPr="00B114F8" w:rsidRDefault="00B114F8" w:rsidP="007F0F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B114F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- </w:t>
      </w:r>
      <w:r w:rsidRPr="00B114F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in forma rateale, in tre rate dello stesso ammontare entro: </w:t>
      </w:r>
    </w:p>
    <w:p w14:paraId="1D412A63" w14:textId="77777777" w:rsidR="00B114F8" w:rsidRPr="00B114F8" w:rsidRDefault="00B114F8" w:rsidP="007F0F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B114F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1) il 15 giugno 2022; </w:t>
      </w:r>
    </w:p>
    <w:p w14:paraId="6803D46E" w14:textId="77777777" w:rsidR="00B114F8" w:rsidRPr="00B114F8" w:rsidRDefault="00B114F8" w:rsidP="007F0F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B114F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2) il 15 giugno 2023; </w:t>
      </w:r>
    </w:p>
    <w:p w14:paraId="75F97033" w14:textId="77777777" w:rsidR="00B114F8" w:rsidRPr="00B114F8" w:rsidRDefault="00B114F8" w:rsidP="007F0F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B114F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3) il 15 giugno 2024. </w:t>
      </w:r>
    </w:p>
    <w:p w14:paraId="7D525879" w14:textId="77777777" w:rsidR="00B114F8" w:rsidRPr="00B114F8" w:rsidRDefault="00B114F8" w:rsidP="007F0F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B114F8">
        <w:rPr>
          <w:rFonts w:ascii="Times New Roman" w:eastAsia="Times New Roman" w:hAnsi="Times New Roman" w:cs="Times New Roman"/>
          <w:sz w:val="24"/>
          <w:szCs w:val="24"/>
          <w:lang w:eastAsia="it-IT"/>
        </w:rPr>
        <w:t>Sull’importo delle rate successive alla prima sono dovuti gli interessi nella misura del 3%.</w:t>
      </w:r>
    </w:p>
    <w:p w14:paraId="6C8A897A" w14:textId="77777777" w:rsidR="007F0F6A" w:rsidRPr="007F0F6A" w:rsidRDefault="007F0F6A" w:rsidP="007F0F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6DBACACC" w14:textId="4F8ED138" w:rsidR="00B114F8" w:rsidRPr="00B114F8" w:rsidRDefault="007F0F6A" w:rsidP="007F0F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spellStart"/>
      <w:r w:rsidRPr="007F0F6A">
        <w:rPr>
          <w:rFonts w:ascii="Times New Roman" w:eastAsia="Times New Roman" w:hAnsi="Times New Roman" w:cs="Times New Roman"/>
          <w:sz w:val="24"/>
          <w:szCs w:val="24"/>
          <w:lang w:eastAsia="it-IT"/>
        </w:rPr>
        <w:t>A</w:t>
      </w:r>
      <w:r w:rsidR="00B114F8" w:rsidRPr="00B114F8">
        <w:rPr>
          <w:rFonts w:ascii="Times New Roman" w:eastAsia="Times New Roman" w:hAnsi="Times New Roman" w:cs="Times New Roman"/>
          <w:sz w:val="24"/>
          <w:szCs w:val="24"/>
          <w:lang w:eastAsia="it-IT"/>
        </w:rPr>
        <w:t>ffinchè</w:t>
      </w:r>
      <w:proofErr w:type="spellEnd"/>
      <w:r w:rsidR="00B114F8" w:rsidRPr="00B114F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la rivalutazione di quote e terreni si perfezioni, è necessario:</w:t>
      </w:r>
    </w:p>
    <w:p w14:paraId="3202D837" w14:textId="102EA1F4" w:rsidR="00B114F8" w:rsidRPr="007F0F6A" w:rsidRDefault="00B114F8" w:rsidP="007F0F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B114F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- </w:t>
      </w:r>
      <w:r w:rsidRPr="00B114F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far redigere un’apposita </w:t>
      </w:r>
      <w:r w:rsidRPr="00B114F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perizia giurata</w:t>
      </w:r>
      <w:r w:rsidRPr="00B114F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da un professionista abilitato</w:t>
      </w:r>
      <w:r w:rsidR="007F0F6A" w:rsidRPr="007F0F6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e</w:t>
      </w:r>
      <w:r w:rsidRPr="007F0F6A">
        <w:rPr>
          <w:rFonts w:ascii="Times New Roman" w:hAnsi="Times New Roman" w:cs="Times New Roman"/>
          <w:sz w:val="24"/>
          <w:szCs w:val="24"/>
        </w:rPr>
        <w:t>ntro il 15 giugno 2022</w:t>
      </w:r>
      <w:r w:rsidRPr="00B114F8">
        <w:rPr>
          <w:rFonts w:ascii="Times New Roman" w:eastAsia="Times New Roman" w:hAnsi="Times New Roman" w:cs="Times New Roman"/>
          <w:sz w:val="24"/>
          <w:szCs w:val="24"/>
          <w:lang w:eastAsia="it-IT"/>
        </w:rPr>
        <w:t>;</w:t>
      </w:r>
    </w:p>
    <w:p w14:paraId="479897E8" w14:textId="77777777" w:rsidR="00B114F8" w:rsidRPr="00B114F8" w:rsidRDefault="00B114F8" w:rsidP="007F0F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B114F8">
        <w:rPr>
          <w:rFonts w:ascii="Times New Roman" w:eastAsia="Times New Roman" w:hAnsi="Times New Roman" w:cs="Times New Roman"/>
          <w:sz w:val="24"/>
          <w:szCs w:val="24"/>
          <w:lang w:eastAsia="it-IT"/>
        </w:rPr>
        <w:t>- versare un’</w:t>
      </w:r>
      <w:r w:rsidRPr="00B114F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imposta sostitutiva</w:t>
      </w:r>
      <w:r w:rsidRPr="00B114F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utilizzando il modello F24, indicando “2022” come anno di riferimento e i codici tributo </w:t>
      </w:r>
      <w:r w:rsidRPr="00B114F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8055</w:t>
      </w:r>
      <w:r w:rsidRPr="00B114F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per le partecipazioni e </w:t>
      </w:r>
      <w:r w:rsidRPr="00B114F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8056</w:t>
      </w:r>
      <w:r w:rsidRPr="00B114F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per i terreni;</w:t>
      </w:r>
    </w:p>
    <w:p w14:paraId="440880EA" w14:textId="4D6F90C4" w:rsidR="00B114F8" w:rsidRDefault="00B114F8" w:rsidP="007F0F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B114F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- indicare nella dichiarazione dei redditi relativa all’anno in cui la rivalutazione è stata eseguita i dati relativi alla rideterminazione del valore delle partecipazioni e dei terreni. Più precisamente, i dati relativi alla rivalutazione devono essere riportati nelle apposite sezioni del </w:t>
      </w:r>
      <w:r w:rsidRPr="00B114F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quadro RT</w:t>
      </w:r>
      <w:r w:rsidRPr="00B114F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(partecipazioni).</w:t>
      </w:r>
    </w:p>
    <w:p w14:paraId="4C119F7C" w14:textId="5B2025F9" w:rsidR="00C12A1D" w:rsidRDefault="00C12A1D" w:rsidP="007F0F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7B5D97B2" w14:textId="2A9E476C" w:rsidR="00C12A1D" w:rsidRDefault="00C12A1D" w:rsidP="007F0F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Rimini 25/02/2022</w:t>
      </w:r>
    </w:p>
    <w:p w14:paraId="1526B595" w14:textId="235634D5" w:rsidR="00C12A1D" w:rsidRDefault="00C12A1D" w:rsidP="007F0F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  <w:t>Studio Bruschi</w:t>
      </w:r>
    </w:p>
    <w:p w14:paraId="3D359AE8" w14:textId="77777777" w:rsidR="00C12A1D" w:rsidRPr="00B114F8" w:rsidRDefault="00C12A1D" w:rsidP="007F0F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1B23D531" w14:textId="77777777" w:rsidR="00B114F8" w:rsidRPr="00B114F8" w:rsidRDefault="00B114F8" w:rsidP="00B114F8">
      <w:pPr>
        <w:jc w:val="both"/>
        <w:rPr>
          <w:b/>
          <w:bCs/>
          <w:sz w:val="28"/>
          <w:szCs w:val="28"/>
        </w:rPr>
      </w:pPr>
    </w:p>
    <w:p w14:paraId="7662E8AF" w14:textId="77777777" w:rsidR="00B114F8" w:rsidRPr="00B114F8" w:rsidRDefault="00B114F8" w:rsidP="00B114F8">
      <w:pPr>
        <w:jc w:val="center"/>
        <w:rPr>
          <w:b/>
          <w:bCs/>
        </w:rPr>
      </w:pPr>
    </w:p>
    <w:sectPr w:rsidR="00B114F8" w:rsidRPr="00B114F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F80"/>
    <w:rsid w:val="00296EE4"/>
    <w:rsid w:val="007F0F6A"/>
    <w:rsid w:val="00B114F8"/>
    <w:rsid w:val="00C12A1D"/>
    <w:rsid w:val="00EC6799"/>
    <w:rsid w:val="00FE7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E7617"/>
  <w15:chartTrackingRefBased/>
  <w15:docId w15:val="{7C4D58BF-DF67-4D2C-A0AF-0B70E2C58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EC67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6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90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8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2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6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17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95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0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57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54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2B364-D458-446D-A6CA-6970FAEDC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715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</dc:creator>
  <cp:keywords/>
  <dc:description/>
  <cp:lastModifiedBy>io</cp:lastModifiedBy>
  <cp:revision>3</cp:revision>
  <dcterms:created xsi:type="dcterms:W3CDTF">2022-02-25T15:59:00Z</dcterms:created>
  <dcterms:modified xsi:type="dcterms:W3CDTF">2022-02-25T16:22:00Z</dcterms:modified>
</cp:coreProperties>
</file>